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6C248">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18"/>
          <w:shd w:val="clear" w:fill="FFFFFF"/>
        </w:rPr>
        <w:t xml:space="preserve"> </w:t>
      </w:r>
    </w:p>
    <w:p w14:paraId="293B3716">
      <w:pPr>
        <w:spacing w:before="0" w:after="192"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18"/>
          <w:shd w:val="clear" w:fill="FFFFFF"/>
        </w:rPr>
        <w:t xml:space="preserve"> </w:t>
      </w:r>
    </w:p>
    <w:p w14:paraId="31DB01DB">
      <w:pPr>
        <w:keepNext/>
        <w:keepLines/>
        <w:spacing w:before="0" w:after="0" w:line="268" w:lineRule="exact"/>
        <w:ind w:left="1872" w:right="0" w:hanging="941"/>
        <w:jc w:val="left"/>
        <w:rPr>
          <w:sz w:val="30"/>
          <w:szCs w:val="30"/>
        </w:rPr>
      </w:pPr>
      <w:r>
        <w:rPr>
          <w:rFonts w:ascii="Arial" w:hAnsi="Arial" w:eastAsia="Arial" w:cs="Arial"/>
          <w:b/>
          <w:color w:val="000000"/>
          <w:spacing w:val="0"/>
          <w:sz w:val="30"/>
          <w:szCs w:val="30"/>
          <w:u w:val="single"/>
          <w:shd w:val="clear" w:fill="FFFFFF"/>
        </w:rPr>
        <w:t>SPECYFIKACJA TECHNICZNA WYKONANIA</w:t>
      </w:r>
    </w:p>
    <w:p w14:paraId="5159D715">
      <w:pPr>
        <w:spacing w:before="0" w:after="0" w:line="268" w:lineRule="exact"/>
        <w:ind w:left="1872" w:right="0" w:hanging="941"/>
        <w:jc w:val="left"/>
        <w:rPr>
          <w:rFonts w:ascii="Arial" w:hAnsi="Arial" w:eastAsia="Arial" w:cs="Arial"/>
          <w:b/>
          <w:color w:val="000000"/>
          <w:spacing w:val="0"/>
          <w:highlight w:val="white"/>
          <w:u w:val="single"/>
        </w:rPr>
      </w:pPr>
    </w:p>
    <w:p w14:paraId="24450E14">
      <w:pPr>
        <w:spacing w:before="0" w:after="0" w:line="268" w:lineRule="exact"/>
        <w:ind w:left="1872" w:right="0" w:hanging="941"/>
        <w:jc w:val="left"/>
        <w:rPr>
          <w:rFonts w:ascii="Arial" w:hAnsi="Arial" w:eastAsia="Arial" w:cs="Arial"/>
          <w:b/>
          <w:color w:val="000000"/>
          <w:spacing w:val="0"/>
          <w:sz w:val="40"/>
          <w:highlight w:val="white"/>
          <w:u w:val="single"/>
        </w:rPr>
      </w:pPr>
      <w:r>
        <w:rPr>
          <w:rFonts w:ascii="Arial" w:hAnsi="Arial" w:eastAsia="Arial" w:cs="Arial"/>
          <w:b/>
          <w:color w:val="000000"/>
          <w:spacing w:val="0"/>
          <w:sz w:val="30"/>
          <w:szCs w:val="30"/>
          <w:u w:val="single"/>
          <w:shd w:val="clear" w:fill="FFFFFF"/>
        </w:rPr>
        <w:t xml:space="preserve"> I ODBIORU ROBÓT BUDOWLANYCH </w:t>
      </w:r>
    </w:p>
    <w:p w14:paraId="5B3E6740">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18"/>
          <w:shd w:val="clear" w:fill="FFFFFF"/>
        </w:rPr>
        <w:t xml:space="preserve"> </w:t>
      </w:r>
    </w:p>
    <w:p w14:paraId="04A3D3E2">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18"/>
          <w:shd w:val="clear" w:fill="FFFFFF"/>
        </w:rPr>
        <w:t xml:space="preserve"> </w:t>
      </w:r>
    </w:p>
    <w:p w14:paraId="59B2AB81">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18"/>
          <w:shd w:val="clear" w:fill="FFFFFF"/>
        </w:rPr>
        <w:t xml:space="preserve"> </w:t>
      </w:r>
    </w:p>
    <w:p w14:paraId="3A463528">
      <w:pPr>
        <w:spacing w:before="0" w:after="79"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18"/>
          <w:shd w:val="clear" w:fill="FFFFFF"/>
        </w:rPr>
        <w:t xml:space="preserve"> </w:t>
      </w:r>
    </w:p>
    <w:p w14:paraId="72E8D432">
      <w:pPr>
        <w:spacing w:before="0" w:after="0" w:line="259" w:lineRule="exact"/>
        <w:ind w:left="490" w:right="0" w:hanging="10"/>
        <w:jc w:val="left"/>
        <w:rPr>
          <w:rFonts w:ascii="Arial" w:hAnsi="Arial" w:eastAsia="Arial" w:cs="Arial"/>
          <w:color w:val="000000"/>
          <w:spacing w:val="0"/>
          <w:sz w:val="20"/>
          <w:highlight w:val="white"/>
        </w:rPr>
      </w:pPr>
      <w:r>
        <w:rPr>
          <w:rFonts w:ascii="Arial" w:hAnsi="Arial" w:eastAsia="Arial" w:cs="Arial"/>
          <w:b/>
          <w:color w:val="000000"/>
          <w:spacing w:val="0"/>
          <w:sz w:val="28"/>
          <w:u w:val="single"/>
          <w:shd w:val="clear" w:fill="FFFFFF"/>
        </w:rPr>
        <w:t>NAZWA INWESTYCJI:</w:t>
      </w:r>
      <w:r>
        <w:rPr>
          <w:rFonts w:ascii="Arial" w:hAnsi="Arial" w:eastAsia="Arial" w:cs="Arial"/>
          <w:b/>
          <w:color w:val="000000"/>
          <w:spacing w:val="0"/>
          <w:sz w:val="28"/>
          <w:shd w:val="clear" w:fill="FFFFFF"/>
        </w:rPr>
        <w:t xml:space="preserve"> </w:t>
      </w:r>
    </w:p>
    <w:p w14:paraId="3DCE728F">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28"/>
          <w:shd w:val="clear" w:fill="FFFFFF"/>
        </w:rPr>
        <w:t xml:space="preserve"> </w:t>
      </w:r>
    </w:p>
    <w:p w14:paraId="78B212AB">
      <w:pPr>
        <w:spacing w:before="0" w:after="4" w:line="252" w:lineRule="exact"/>
        <w:ind w:left="490" w:right="0" w:hanging="10"/>
        <w:jc w:val="both"/>
        <w:rPr>
          <w:rFonts w:ascii="Trebuchet MS" w:hAnsi="Trebuchet MS" w:cs="Trebuchet MS"/>
          <w:sz w:val="20"/>
          <w:szCs w:val="20"/>
        </w:rPr>
      </w:pPr>
      <w:r>
        <w:rPr>
          <w:rFonts w:ascii="Arial" w:hAnsi="Arial" w:eastAsia="Arial" w:cs="Trebuchet MS"/>
          <w:b/>
          <w:color w:val="000000"/>
          <w:spacing w:val="0"/>
          <w:sz w:val="28"/>
          <w:szCs w:val="28"/>
          <w:shd w:val="clear" w:fill="FFFFFF"/>
        </w:rPr>
        <w:t xml:space="preserve">Modernizacja </w:t>
      </w:r>
      <w:r>
        <w:rPr>
          <w:rFonts w:hint="default" w:ascii="Arial" w:hAnsi="Arial" w:eastAsia="Arial" w:cs="Trebuchet MS"/>
          <w:b/>
          <w:color w:val="000000"/>
          <w:spacing w:val="0"/>
          <w:sz w:val="28"/>
          <w:szCs w:val="28"/>
          <w:shd w:val="clear" w:fill="FFFFFF"/>
          <w:lang w:val="pl-PL"/>
        </w:rPr>
        <w:t>remizy strażackiej OSP Domaniewice</w:t>
      </w:r>
      <w:r>
        <w:rPr>
          <w:rFonts w:ascii="Arial" w:hAnsi="Arial" w:eastAsia="Arial" w:cs="Trebuchet MS"/>
          <w:b/>
          <w:color w:val="000000"/>
          <w:spacing w:val="0"/>
          <w:sz w:val="28"/>
          <w:szCs w:val="28"/>
          <w:shd w:val="clear" w:fill="FFFFFF"/>
        </w:rPr>
        <w:t>.</w:t>
      </w:r>
    </w:p>
    <w:p w14:paraId="04029621">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28"/>
          <w:shd w:val="clear" w:fill="FFFFFF"/>
        </w:rPr>
        <w:t xml:space="preserve"> </w:t>
      </w:r>
    </w:p>
    <w:p w14:paraId="7B732326">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28"/>
          <w:shd w:val="clear" w:fill="FFFFFF"/>
        </w:rPr>
        <w:t xml:space="preserve"> </w:t>
      </w:r>
    </w:p>
    <w:p w14:paraId="70C69D38">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28"/>
          <w:shd w:val="clear" w:fill="FFFFFF"/>
        </w:rPr>
        <w:t xml:space="preserve"> </w:t>
      </w:r>
    </w:p>
    <w:p w14:paraId="11B0C60D">
      <w:pPr>
        <w:spacing w:before="0" w:after="5" w:line="252" w:lineRule="exact"/>
        <w:ind w:left="490" w:right="0" w:hanging="10"/>
        <w:jc w:val="both"/>
        <w:rPr>
          <w:rFonts w:ascii="Arial" w:hAnsi="Arial" w:eastAsia="Arial" w:cs="Arial"/>
          <w:color w:val="000000"/>
          <w:spacing w:val="0"/>
          <w:sz w:val="20"/>
          <w:highlight w:val="white"/>
        </w:rPr>
      </w:pPr>
      <w:r>
        <w:rPr>
          <w:rFonts w:ascii="Arial" w:hAnsi="Arial" w:eastAsia="Arial" w:cs="Arial"/>
          <w:b/>
          <w:color w:val="000000"/>
          <w:spacing w:val="0"/>
          <w:sz w:val="20"/>
          <w:shd w:val="clear" w:fill="FFFFFF"/>
        </w:rPr>
        <w:t xml:space="preserve">INWESTOR: </w:t>
      </w:r>
    </w:p>
    <w:p w14:paraId="24E79749">
      <w:pPr>
        <w:tabs>
          <w:tab w:val="center" w:pos="495"/>
          <w:tab w:val="center" w:pos="2086"/>
        </w:tabs>
        <w:spacing w:before="0" w:after="5" w:line="267" w:lineRule="exact"/>
        <w:ind w:left="0" w:right="0" w:firstLine="0"/>
        <w:jc w:val="left"/>
        <w:rPr>
          <w:rFonts w:ascii="Arial" w:hAnsi="Arial" w:eastAsia="Arial" w:cs="Arial"/>
          <w:color w:val="000000"/>
          <w:spacing w:val="0"/>
          <w:sz w:val="20"/>
          <w:highlight w:val="white"/>
        </w:rPr>
      </w:pPr>
      <w:r>
        <w:rPr>
          <w:rFonts w:ascii="Calibri" w:hAnsi="Calibri" w:eastAsia="Calibri" w:cs="Calibri"/>
          <w:color w:val="000000"/>
          <w:spacing w:val="0"/>
          <w:sz w:val="22"/>
          <w:shd w:val="clear" w:fill="FFFFFF"/>
        </w:rPr>
        <w:tab/>
      </w:r>
      <w:r>
        <w:rPr>
          <w:rFonts w:ascii="Arial" w:hAnsi="Arial" w:eastAsia="Arial" w:cs="Arial"/>
          <w:color w:val="000000"/>
          <w:spacing w:val="0"/>
          <w:sz w:val="20"/>
          <w:shd w:val="clear" w:fill="FFFFFF"/>
        </w:rPr>
        <w:t xml:space="preserve"> </w:t>
      </w:r>
      <w:r>
        <w:rPr>
          <w:rFonts w:ascii="Arial" w:hAnsi="Arial" w:eastAsia="Arial" w:cs="Arial"/>
          <w:color w:val="000000"/>
          <w:spacing w:val="0"/>
          <w:sz w:val="20"/>
          <w:shd w:val="clear" w:fill="FFFFFF"/>
        </w:rPr>
        <w:tab/>
      </w:r>
      <w:r>
        <w:rPr>
          <w:rFonts w:ascii="Arial" w:hAnsi="Arial" w:eastAsia="Arial" w:cs="Arial"/>
          <w:color w:val="000000"/>
          <w:spacing w:val="0"/>
          <w:sz w:val="20"/>
          <w:shd w:val="clear" w:fill="FFFFFF"/>
        </w:rPr>
        <w:t xml:space="preserve">GMINA WOLBROM </w:t>
      </w:r>
    </w:p>
    <w:p w14:paraId="27B40443">
      <w:pPr>
        <w:tabs>
          <w:tab w:val="center" w:pos="495"/>
          <w:tab w:val="center" w:pos="1908"/>
        </w:tabs>
        <w:spacing w:before="0" w:after="5" w:line="267" w:lineRule="exact"/>
        <w:ind w:left="0" w:right="0" w:firstLine="0"/>
        <w:jc w:val="left"/>
        <w:rPr>
          <w:rFonts w:ascii="Arial" w:hAnsi="Arial" w:eastAsia="Arial" w:cs="Arial"/>
          <w:color w:val="000000"/>
          <w:spacing w:val="0"/>
          <w:sz w:val="20"/>
          <w:highlight w:val="white"/>
        </w:rPr>
      </w:pPr>
      <w:r>
        <w:rPr>
          <w:rFonts w:ascii="Calibri" w:hAnsi="Calibri" w:eastAsia="Calibri" w:cs="Calibri"/>
          <w:color w:val="000000"/>
          <w:spacing w:val="0"/>
          <w:sz w:val="22"/>
          <w:shd w:val="clear" w:fill="FFFFFF"/>
        </w:rPr>
        <w:tab/>
      </w:r>
      <w:r>
        <w:rPr>
          <w:rFonts w:ascii="Arial" w:hAnsi="Arial" w:eastAsia="Arial" w:cs="Arial"/>
          <w:color w:val="000000"/>
          <w:spacing w:val="0"/>
          <w:sz w:val="20"/>
          <w:shd w:val="clear" w:fill="FFFFFF"/>
        </w:rPr>
        <w:t xml:space="preserve"> </w:t>
      </w:r>
      <w:r>
        <w:rPr>
          <w:rFonts w:ascii="Arial" w:hAnsi="Arial" w:eastAsia="Arial" w:cs="Arial"/>
          <w:color w:val="000000"/>
          <w:spacing w:val="0"/>
          <w:sz w:val="20"/>
          <w:shd w:val="clear" w:fill="FFFFFF"/>
        </w:rPr>
        <w:tab/>
      </w:r>
      <w:r>
        <w:rPr>
          <w:rFonts w:ascii="Arial" w:hAnsi="Arial" w:eastAsia="Arial" w:cs="Arial"/>
          <w:color w:val="000000"/>
          <w:spacing w:val="0"/>
          <w:sz w:val="20"/>
          <w:shd w:val="clear" w:fill="FFFFFF"/>
        </w:rPr>
        <w:t xml:space="preserve">ul. Krakowska 1  </w:t>
      </w:r>
    </w:p>
    <w:p w14:paraId="4782B819">
      <w:pPr>
        <w:tabs>
          <w:tab w:val="center" w:pos="495"/>
          <w:tab w:val="center" w:pos="1941"/>
        </w:tabs>
        <w:spacing w:before="0" w:after="5" w:line="267" w:lineRule="exact"/>
        <w:ind w:left="0" w:right="0" w:firstLine="0"/>
        <w:jc w:val="left"/>
        <w:rPr>
          <w:rFonts w:ascii="Arial" w:hAnsi="Arial" w:eastAsia="Arial" w:cs="Arial"/>
          <w:color w:val="000000"/>
          <w:spacing w:val="0"/>
          <w:sz w:val="20"/>
          <w:highlight w:val="white"/>
        </w:rPr>
      </w:pPr>
      <w:r>
        <w:rPr>
          <w:rFonts w:ascii="Calibri" w:hAnsi="Calibri" w:eastAsia="Calibri" w:cs="Calibri"/>
          <w:color w:val="000000"/>
          <w:spacing w:val="0"/>
          <w:sz w:val="22"/>
          <w:shd w:val="clear" w:fill="FFFFFF"/>
        </w:rPr>
        <w:tab/>
      </w:r>
      <w:r>
        <w:rPr>
          <w:rFonts w:ascii="Arial" w:hAnsi="Arial" w:eastAsia="Arial" w:cs="Arial"/>
          <w:color w:val="000000"/>
          <w:spacing w:val="0"/>
          <w:sz w:val="20"/>
          <w:shd w:val="clear" w:fill="FFFFFF"/>
        </w:rPr>
        <w:t xml:space="preserve"> </w:t>
      </w:r>
      <w:r>
        <w:rPr>
          <w:rFonts w:ascii="Arial" w:hAnsi="Arial" w:eastAsia="Arial" w:cs="Arial"/>
          <w:color w:val="000000"/>
          <w:spacing w:val="0"/>
          <w:sz w:val="20"/>
          <w:shd w:val="clear" w:fill="FFFFFF"/>
        </w:rPr>
        <w:tab/>
      </w:r>
      <w:r>
        <w:rPr>
          <w:rFonts w:ascii="Arial" w:hAnsi="Arial" w:eastAsia="Arial" w:cs="Arial"/>
          <w:color w:val="000000"/>
          <w:spacing w:val="0"/>
          <w:sz w:val="20"/>
          <w:shd w:val="clear" w:fill="FFFFFF"/>
        </w:rPr>
        <w:t xml:space="preserve">32-340 Wolbrom </w:t>
      </w:r>
    </w:p>
    <w:p w14:paraId="12DC3F33">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18"/>
          <w:shd w:val="clear" w:fill="FFFFFF"/>
        </w:rPr>
        <w:t xml:space="preserve"> </w:t>
      </w:r>
    </w:p>
    <w:p w14:paraId="46567784">
      <w:pPr>
        <w:spacing w:before="0" w:after="4"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18"/>
          <w:shd w:val="clear" w:fill="FFFFFF"/>
        </w:rPr>
        <w:t xml:space="preserve"> </w:t>
      </w:r>
    </w:p>
    <w:p w14:paraId="322FBB8D">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1E50E47">
      <w:pPr>
        <w:spacing w:before="0" w:after="5" w:line="252" w:lineRule="exact"/>
        <w:ind w:left="490" w:right="0" w:hanging="10"/>
        <w:jc w:val="both"/>
        <w:rPr>
          <w:rFonts w:ascii="Arial" w:hAnsi="Arial" w:eastAsia="Arial" w:cs="Arial"/>
          <w:color w:val="000000"/>
          <w:spacing w:val="0"/>
          <w:sz w:val="20"/>
          <w:highlight w:val="white"/>
        </w:rPr>
      </w:pPr>
      <w:r>
        <w:rPr>
          <w:rFonts w:ascii="Arial" w:hAnsi="Arial" w:eastAsia="Arial" w:cs="Arial"/>
          <w:b/>
          <w:color w:val="000000"/>
          <w:spacing w:val="0"/>
          <w:sz w:val="20"/>
          <w:shd w:val="clear" w:fill="FFFFFF"/>
        </w:rPr>
        <w:t xml:space="preserve">OPRACOWANIE: </w:t>
      </w:r>
    </w:p>
    <w:p w14:paraId="2D30F50A">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20"/>
          <w:shd w:val="clear" w:fill="FFFFFF"/>
        </w:rPr>
        <w:t xml:space="preserve"> </w:t>
      </w:r>
    </w:p>
    <w:p w14:paraId="44C68DA9">
      <w:pPr>
        <w:spacing w:before="0" w:after="17"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20"/>
          <w:shd w:val="clear" w:fill="FFFFFF"/>
        </w:rPr>
        <w:t xml:space="preserve"> </w:t>
      </w:r>
    </w:p>
    <w:p w14:paraId="7BECD228">
      <w:pPr>
        <w:tabs>
          <w:tab w:val="center" w:pos="495"/>
          <w:tab w:val="center" w:pos="2585"/>
        </w:tabs>
        <w:spacing w:before="0" w:after="5" w:line="267" w:lineRule="exact"/>
        <w:ind w:left="0" w:right="0" w:firstLine="0"/>
        <w:jc w:val="left"/>
      </w:pPr>
      <w:r>
        <w:rPr>
          <w:rFonts w:ascii="Calibri" w:hAnsi="Calibri" w:eastAsia="Calibri" w:cs="Calibri"/>
          <w:color w:val="000000"/>
          <w:spacing w:val="0"/>
          <w:sz w:val="22"/>
          <w:shd w:val="clear" w:fill="FFFFFF"/>
        </w:rPr>
        <w:tab/>
      </w:r>
      <w:r>
        <w:rPr>
          <w:rFonts w:ascii="Arial" w:hAnsi="Arial" w:eastAsia="Arial" w:cs="Arial"/>
          <w:color w:val="000000"/>
          <w:spacing w:val="0"/>
          <w:sz w:val="20"/>
          <w:shd w:val="clear" w:fill="FFFFFF"/>
        </w:rPr>
        <w:t xml:space="preserve"> </w:t>
      </w:r>
      <w:r>
        <w:rPr>
          <w:rFonts w:ascii="Arial" w:hAnsi="Arial" w:eastAsia="Arial" w:cs="Arial"/>
          <w:color w:val="000000"/>
          <w:spacing w:val="0"/>
          <w:sz w:val="20"/>
          <w:shd w:val="clear" w:fill="FFFFFF"/>
        </w:rPr>
        <w:tab/>
      </w:r>
      <w:r>
        <w:rPr>
          <w:rFonts w:ascii="Arial" w:hAnsi="Arial" w:eastAsia="Arial" w:cs="Arial"/>
          <w:color w:val="000000"/>
          <w:spacing w:val="0"/>
          <w:sz w:val="20"/>
          <w:shd w:val="clear" w:fill="FFFFFF"/>
        </w:rPr>
        <w:t>mgr inż. Dagmara Muszalska</w:t>
      </w:r>
    </w:p>
    <w:p w14:paraId="6420FB3A">
      <w:pPr>
        <w:tabs>
          <w:tab w:val="center" w:pos="495"/>
          <w:tab w:val="center" w:pos="2303"/>
        </w:tabs>
        <w:spacing w:before="0" w:after="5" w:line="267" w:lineRule="exact"/>
        <w:ind w:left="0" w:right="0" w:firstLine="0"/>
        <w:jc w:val="left"/>
      </w:pPr>
      <w:r>
        <w:rPr>
          <w:rFonts w:ascii="Calibri" w:hAnsi="Calibri" w:eastAsia="Calibri" w:cs="Calibri"/>
          <w:color w:val="000000"/>
          <w:spacing w:val="0"/>
          <w:sz w:val="22"/>
          <w:shd w:val="clear" w:fill="FFFFFF"/>
        </w:rPr>
        <w:tab/>
      </w:r>
      <w:r>
        <w:rPr>
          <w:rFonts w:ascii="Arial" w:hAnsi="Arial" w:eastAsia="Arial" w:cs="Arial"/>
          <w:color w:val="000000"/>
          <w:spacing w:val="0"/>
          <w:sz w:val="20"/>
          <w:shd w:val="clear" w:fill="FFFFFF"/>
        </w:rPr>
        <w:t xml:space="preserve"> </w:t>
      </w:r>
      <w:r>
        <w:rPr>
          <w:rFonts w:ascii="Arial" w:hAnsi="Arial" w:eastAsia="Arial" w:cs="Arial"/>
          <w:color w:val="000000"/>
          <w:spacing w:val="0"/>
          <w:sz w:val="20"/>
          <w:shd w:val="clear" w:fill="FFFFFF"/>
        </w:rPr>
        <w:tab/>
      </w:r>
    </w:p>
    <w:p w14:paraId="12ABE77F">
      <w:pPr>
        <w:tabs>
          <w:tab w:val="center" w:pos="495"/>
          <w:tab w:val="center" w:pos="2303"/>
        </w:tabs>
        <w:spacing w:before="0" w:after="5" w:line="267" w:lineRule="exact"/>
        <w:ind w:left="0" w:right="0" w:firstLine="0"/>
        <w:jc w:val="left"/>
        <w:rPr>
          <w:rFonts w:ascii="Arial" w:hAnsi="Arial" w:eastAsia="Arial" w:cs="Arial"/>
          <w:color w:val="000000"/>
          <w:spacing w:val="0"/>
          <w:sz w:val="20"/>
          <w:highlight w:val="white"/>
        </w:rPr>
      </w:pPr>
    </w:p>
    <w:p w14:paraId="1E94B790">
      <w:pPr>
        <w:tabs>
          <w:tab w:val="center" w:pos="495"/>
          <w:tab w:val="center" w:pos="2303"/>
        </w:tabs>
        <w:spacing w:before="0" w:after="5" w:line="267" w:lineRule="exact"/>
        <w:ind w:left="0" w:right="0" w:firstLine="0"/>
        <w:jc w:val="left"/>
        <w:rPr>
          <w:rFonts w:ascii="Arial" w:hAnsi="Arial" w:eastAsia="Arial" w:cs="Arial"/>
          <w:color w:val="000000"/>
          <w:spacing w:val="0"/>
          <w:sz w:val="20"/>
          <w:highlight w:val="white"/>
        </w:rPr>
      </w:pPr>
    </w:p>
    <w:p w14:paraId="4F65A1BA">
      <w:pPr>
        <w:tabs>
          <w:tab w:val="center" w:pos="495"/>
          <w:tab w:val="center" w:pos="2303"/>
        </w:tabs>
        <w:spacing w:before="0" w:after="5" w:line="267" w:lineRule="exact"/>
        <w:ind w:left="0" w:right="0" w:firstLine="0"/>
        <w:jc w:val="left"/>
        <w:rPr>
          <w:rFonts w:ascii="Arial" w:hAnsi="Arial" w:eastAsia="Arial" w:cs="Arial"/>
          <w:color w:val="000000"/>
          <w:spacing w:val="0"/>
          <w:sz w:val="20"/>
          <w:highlight w:val="white"/>
        </w:rPr>
      </w:pPr>
    </w:p>
    <w:p w14:paraId="4BA2C348">
      <w:pPr>
        <w:tabs>
          <w:tab w:val="center" w:pos="495"/>
          <w:tab w:val="center" w:pos="2303"/>
        </w:tabs>
        <w:spacing w:before="0" w:after="5" w:line="267" w:lineRule="exact"/>
        <w:ind w:left="0" w:right="0" w:firstLine="0"/>
        <w:jc w:val="left"/>
        <w:rPr>
          <w:rFonts w:ascii="Arial" w:hAnsi="Arial" w:eastAsia="Arial" w:cs="Arial"/>
          <w:color w:val="000000"/>
          <w:spacing w:val="0"/>
          <w:sz w:val="20"/>
          <w:highlight w:val="white"/>
        </w:rPr>
      </w:pPr>
    </w:p>
    <w:p w14:paraId="37A7054C">
      <w:pPr>
        <w:tabs>
          <w:tab w:val="center" w:pos="495"/>
          <w:tab w:val="center" w:pos="2303"/>
        </w:tabs>
        <w:spacing w:before="0" w:after="5" w:line="267" w:lineRule="exact"/>
        <w:ind w:left="0" w:right="0" w:firstLine="0"/>
        <w:jc w:val="left"/>
        <w:rPr>
          <w:rFonts w:ascii="Arial" w:hAnsi="Arial" w:eastAsia="Arial" w:cs="Arial"/>
          <w:color w:val="000000"/>
          <w:spacing w:val="0"/>
          <w:sz w:val="20"/>
          <w:highlight w:val="white"/>
        </w:rPr>
      </w:pPr>
    </w:p>
    <w:p w14:paraId="283818B0">
      <w:pPr>
        <w:tabs>
          <w:tab w:val="center" w:pos="495"/>
          <w:tab w:val="center" w:pos="2303"/>
        </w:tabs>
        <w:spacing w:before="0" w:after="5" w:line="267" w:lineRule="exact"/>
        <w:ind w:left="0" w:right="0" w:firstLine="0"/>
        <w:jc w:val="left"/>
        <w:rPr>
          <w:rFonts w:ascii="Arial" w:hAnsi="Arial" w:eastAsia="Arial" w:cs="Arial"/>
          <w:color w:val="000000"/>
          <w:spacing w:val="0"/>
          <w:sz w:val="20"/>
          <w:highlight w:val="white"/>
        </w:rPr>
      </w:pPr>
    </w:p>
    <w:p w14:paraId="4531EF0D">
      <w:pPr>
        <w:tabs>
          <w:tab w:val="center" w:pos="495"/>
          <w:tab w:val="center" w:pos="2303"/>
        </w:tabs>
        <w:spacing w:before="0" w:after="5" w:line="267" w:lineRule="exact"/>
        <w:ind w:left="0" w:right="0" w:firstLine="0"/>
        <w:jc w:val="left"/>
        <w:rPr>
          <w:rFonts w:ascii="Arial" w:hAnsi="Arial" w:eastAsia="Arial" w:cs="Arial"/>
          <w:color w:val="000000"/>
          <w:spacing w:val="0"/>
          <w:sz w:val="20"/>
          <w:highlight w:val="white"/>
        </w:rPr>
      </w:pPr>
    </w:p>
    <w:p w14:paraId="14264D8E">
      <w:pPr>
        <w:tabs>
          <w:tab w:val="center" w:pos="495"/>
          <w:tab w:val="center" w:pos="2303"/>
        </w:tabs>
        <w:spacing w:before="0" w:after="5" w:line="267" w:lineRule="exact"/>
        <w:ind w:left="0" w:right="0" w:firstLine="0"/>
        <w:jc w:val="left"/>
        <w:rPr>
          <w:rFonts w:ascii="Arial" w:hAnsi="Arial" w:eastAsia="Arial" w:cs="Arial"/>
          <w:color w:val="000000"/>
          <w:spacing w:val="0"/>
          <w:sz w:val="20"/>
          <w:highlight w:val="white"/>
        </w:rPr>
      </w:pPr>
    </w:p>
    <w:p w14:paraId="01E59E5F">
      <w:pPr>
        <w:tabs>
          <w:tab w:val="center" w:pos="495"/>
          <w:tab w:val="center" w:pos="2303"/>
        </w:tabs>
        <w:spacing w:before="0" w:after="5" w:line="267" w:lineRule="exact"/>
        <w:ind w:left="0" w:right="0" w:firstLine="0"/>
        <w:jc w:val="left"/>
        <w:rPr>
          <w:rFonts w:ascii="Arial" w:hAnsi="Arial" w:eastAsia="Arial" w:cs="Arial"/>
          <w:color w:val="000000"/>
          <w:spacing w:val="0"/>
          <w:sz w:val="20"/>
          <w:highlight w:val="white"/>
        </w:rPr>
      </w:pPr>
    </w:p>
    <w:p w14:paraId="2FCB5F0D">
      <w:pPr>
        <w:tabs>
          <w:tab w:val="center" w:pos="495"/>
          <w:tab w:val="center" w:pos="2303"/>
        </w:tabs>
        <w:spacing w:before="0" w:after="5" w:line="267" w:lineRule="exact"/>
        <w:ind w:left="0" w:right="0" w:firstLine="0"/>
        <w:jc w:val="left"/>
        <w:rPr>
          <w:rFonts w:ascii="Arial" w:hAnsi="Arial" w:eastAsia="Arial" w:cs="Arial"/>
          <w:color w:val="000000"/>
          <w:spacing w:val="0"/>
          <w:sz w:val="20"/>
          <w:highlight w:val="white"/>
        </w:rPr>
      </w:pPr>
    </w:p>
    <w:p w14:paraId="6C2112F5">
      <w:pPr>
        <w:tabs>
          <w:tab w:val="center" w:pos="495"/>
          <w:tab w:val="center" w:pos="2303"/>
        </w:tabs>
        <w:spacing w:before="0" w:after="5" w:line="267" w:lineRule="exact"/>
        <w:ind w:left="0" w:right="0" w:firstLine="0"/>
        <w:jc w:val="left"/>
        <w:rPr>
          <w:rFonts w:ascii="Arial" w:hAnsi="Arial" w:eastAsia="Arial" w:cs="Arial"/>
          <w:color w:val="000000"/>
          <w:spacing w:val="0"/>
          <w:sz w:val="20"/>
          <w:highlight w:val="white"/>
        </w:rPr>
      </w:pPr>
    </w:p>
    <w:p w14:paraId="77A49C13">
      <w:pPr>
        <w:tabs>
          <w:tab w:val="center" w:pos="495"/>
          <w:tab w:val="center" w:pos="2303"/>
        </w:tabs>
        <w:spacing w:before="0" w:after="5" w:line="267" w:lineRule="exact"/>
        <w:ind w:left="0" w:right="0" w:firstLine="0"/>
        <w:jc w:val="left"/>
        <w:rPr>
          <w:rFonts w:ascii="Arial" w:hAnsi="Arial" w:eastAsia="Arial" w:cs="Arial"/>
          <w:color w:val="000000"/>
          <w:spacing w:val="0"/>
          <w:sz w:val="20"/>
          <w:highlight w:val="white"/>
        </w:rPr>
      </w:pPr>
    </w:p>
    <w:p w14:paraId="31A29BA3">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20"/>
          <w:shd w:val="clear" w:fill="FFFFFF"/>
        </w:rPr>
        <w:t xml:space="preserve"> </w:t>
      </w:r>
    </w:p>
    <w:p w14:paraId="3A8AC19D">
      <w:pPr>
        <w:spacing w:before="0" w:after="0" w:line="259" w:lineRule="exact"/>
        <w:ind w:left="495" w:right="0" w:firstLine="0"/>
        <w:jc w:val="left"/>
        <w:rPr>
          <w:rFonts w:ascii="Arial" w:hAnsi="Arial" w:eastAsia="Arial" w:cs="Arial"/>
          <w:color w:val="000000"/>
          <w:spacing w:val="0"/>
          <w:sz w:val="20"/>
          <w:highlight w:val="white"/>
        </w:rPr>
      </w:pPr>
    </w:p>
    <w:p w14:paraId="4DB2F626">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18"/>
          <w:shd w:val="clear" w:fill="FFFFFF"/>
        </w:rPr>
        <w:t xml:space="preserve"> </w:t>
      </w:r>
    </w:p>
    <w:p w14:paraId="4D3B0F3E">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18"/>
          <w:shd w:val="clear" w:fill="FFFFFF"/>
        </w:rPr>
        <w:t xml:space="preserve"> </w:t>
      </w:r>
    </w:p>
    <w:p w14:paraId="24A1EF68">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18"/>
          <w:shd w:val="clear" w:fill="FFFFFF"/>
        </w:rPr>
        <w:t xml:space="preserve"> </w:t>
      </w:r>
    </w:p>
    <w:p w14:paraId="4C5DC928">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18"/>
          <w:shd w:val="clear" w:fill="FFFFFF"/>
        </w:rPr>
        <w:t xml:space="preserve"> </w:t>
      </w:r>
    </w:p>
    <w:p w14:paraId="7ED613F5">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18"/>
          <w:shd w:val="clear" w:fill="FFFFFF"/>
        </w:rPr>
        <w:t xml:space="preserve"> </w:t>
      </w:r>
    </w:p>
    <w:p w14:paraId="6F5D974B">
      <w:pPr>
        <w:spacing w:before="0" w:after="0" w:line="259" w:lineRule="exact"/>
        <w:ind w:right="0" w:firstLine="0"/>
        <w:jc w:val="center"/>
      </w:pPr>
      <w:r>
        <w:rPr>
          <w:rFonts w:ascii="Arial" w:hAnsi="Arial" w:eastAsia="Arial" w:cs="Arial"/>
          <w:color w:val="000000"/>
          <w:spacing w:val="0"/>
          <w:sz w:val="18"/>
          <w:shd w:val="clear" w:fill="FFFFFF"/>
        </w:rPr>
        <w:t xml:space="preserve">SPIS TREŚCI </w:t>
      </w:r>
    </w:p>
    <w:p w14:paraId="0FA45402">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 </w:t>
      </w:r>
    </w:p>
    <w:p w14:paraId="749B43A3">
      <w:pPr>
        <w:spacing w:before="0" w:after="36" w:line="259" w:lineRule="exact"/>
        <w:ind w:left="490" w:right="0" w:hanging="10"/>
        <w:jc w:val="left"/>
      </w:pPr>
      <w:r>
        <w:rPr>
          <w:rFonts w:ascii="Arial" w:hAnsi="Arial" w:eastAsia="Arial" w:cs="Arial"/>
          <w:b/>
          <w:color w:val="000000"/>
          <w:spacing w:val="0"/>
          <w:sz w:val="18"/>
          <w:shd w:val="clear" w:fill="FFFFFF"/>
        </w:rPr>
        <w:t xml:space="preserve">SPECYFIKACJA TECHNICZNA - ZAŁOŻENIA OGÓLNE STB 00.00 </w:t>
      </w:r>
    </w:p>
    <w:p w14:paraId="436F6B06">
      <w:pPr>
        <w:spacing w:before="0" w:after="0" w:line="259" w:lineRule="exact"/>
        <w:ind w:left="495" w:right="0" w:firstLine="0"/>
        <w:jc w:val="left"/>
        <w:rPr>
          <w:rFonts w:ascii="Arial" w:hAnsi="Arial" w:eastAsia="Arial" w:cs="Arial"/>
          <w:color w:val="000000"/>
          <w:spacing w:val="0"/>
          <w:sz w:val="20"/>
          <w:highlight w:val="white"/>
        </w:rPr>
      </w:pPr>
      <w:r>
        <w:rPr>
          <w:rFonts w:ascii="Times New Roman" w:hAnsi="Times New Roman" w:eastAsia="Times New Roman" w:cs="Times New Roman"/>
          <w:color w:val="000000"/>
          <w:spacing w:val="0"/>
          <w:sz w:val="24"/>
          <w:shd w:val="clear" w:fill="FFFFFF"/>
        </w:rPr>
        <w:t xml:space="preserve"> </w:t>
      </w:r>
    </w:p>
    <w:p w14:paraId="4BF3EFCC">
      <w:pPr>
        <w:numPr>
          <w:ilvl w:val="0"/>
          <w:numId w:val="1"/>
        </w:numPr>
        <w:spacing w:before="0" w:after="5" w:line="268" w:lineRule="exact"/>
        <w:ind w:left="413" w:right="0" w:hanging="360"/>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STB 00.01 WSTĘP </w:t>
      </w:r>
    </w:p>
    <w:p w14:paraId="6DFB0533">
      <w:pPr>
        <w:numPr>
          <w:ilvl w:val="0"/>
          <w:numId w:val="1"/>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Przedmiot Specyfikacji </w:t>
      </w:r>
    </w:p>
    <w:p w14:paraId="4036E86A">
      <w:pPr>
        <w:numPr>
          <w:ilvl w:val="0"/>
          <w:numId w:val="1"/>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Zakres stosowania Specyfikacji Technicznej </w:t>
      </w:r>
    </w:p>
    <w:p w14:paraId="4F5219EF">
      <w:pPr>
        <w:numPr>
          <w:ilvl w:val="0"/>
          <w:numId w:val="1"/>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Zakres robót objętych Specyfikacją Techniczną </w:t>
      </w:r>
    </w:p>
    <w:p w14:paraId="19F7B632">
      <w:pPr>
        <w:numPr>
          <w:ilvl w:val="0"/>
          <w:numId w:val="1"/>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Określenia podstawowe </w:t>
      </w:r>
    </w:p>
    <w:p w14:paraId="0A049B96">
      <w:pPr>
        <w:numPr>
          <w:ilvl w:val="0"/>
          <w:numId w:val="1"/>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Ogólne wymagania dotyczące robót </w:t>
      </w:r>
    </w:p>
    <w:p w14:paraId="54DA3229">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 </w:t>
      </w:r>
    </w:p>
    <w:p w14:paraId="453C75B8">
      <w:pPr>
        <w:numPr>
          <w:ilvl w:val="0"/>
          <w:numId w:val="2"/>
        </w:numPr>
        <w:spacing w:before="0" w:after="5" w:line="268" w:lineRule="exact"/>
        <w:ind w:left="413" w:right="0" w:hanging="360"/>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STB 00.02 MATERIAŁY </w:t>
      </w:r>
    </w:p>
    <w:p w14:paraId="11F4792A">
      <w:pPr>
        <w:numPr>
          <w:ilvl w:val="0"/>
          <w:numId w:val="2"/>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Źródła uzyskania materiałów do elementów konstrukcyjnych </w:t>
      </w:r>
    </w:p>
    <w:p w14:paraId="7B44EEF2">
      <w:pPr>
        <w:numPr>
          <w:ilvl w:val="0"/>
          <w:numId w:val="2"/>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Pozyskiwanie masowych materiałów pochodzenia miejscowego </w:t>
      </w:r>
    </w:p>
    <w:p w14:paraId="253B4873">
      <w:pPr>
        <w:numPr>
          <w:ilvl w:val="0"/>
          <w:numId w:val="2"/>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Materiały nie odpowiadające wymaganiom jakościowym </w:t>
      </w:r>
    </w:p>
    <w:p w14:paraId="7E9C87CF">
      <w:pPr>
        <w:numPr>
          <w:ilvl w:val="0"/>
          <w:numId w:val="2"/>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Przechowywanie i składowanie materiałów </w:t>
      </w:r>
    </w:p>
    <w:p w14:paraId="27448097">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 </w:t>
      </w:r>
    </w:p>
    <w:p w14:paraId="27593177">
      <w:pPr>
        <w:numPr>
          <w:ilvl w:val="0"/>
          <w:numId w:val="3"/>
        </w:numPr>
        <w:spacing w:before="0" w:after="5" w:line="268" w:lineRule="exact"/>
        <w:ind w:left="413" w:right="0" w:hanging="360"/>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STB 00.03 SPRZĘT </w:t>
      </w:r>
    </w:p>
    <w:p w14:paraId="06F44264">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 </w:t>
      </w:r>
    </w:p>
    <w:p w14:paraId="1AE53CB5">
      <w:pPr>
        <w:numPr>
          <w:ilvl w:val="0"/>
          <w:numId w:val="4"/>
        </w:numPr>
        <w:spacing w:before="0" w:after="5" w:line="268" w:lineRule="exact"/>
        <w:ind w:left="413" w:right="0" w:hanging="360"/>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STB 00.04 TRANSPORT </w:t>
      </w:r>
    </w:p>
    <w:p w14:paraId="3DE0D705">
      <w:pPr>
        <w:numPr>
          <w:ilvl w:val="0"/>
          <w:numId w:val="4"/>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Ogólne wymagania dotyczące transportu </w:t>
      </w:r>
    </w:p>
    <w:p w14:paraId="3A7D200F">
      <w:pPr>
        <w:numPr>
          <w:ilvl w:val="0"/>
          <w:numId w:val="4"/>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Wymagania dotyczące przewozu po drogach publicznych </w:t>
      </w:r>
    </w:p>
    <w:p w14:paraId="182349E8">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 </w:t>
      </w:r>
    </w:p>
    <w:p w14:paraId="132F6770">
      <w:pPr>
        <w:numPr>
          <w:ilvl w:val="0"/>
          <w:numId w:val="5"/>
        </w:numPr>
        <w:spacing w:before="0" w:after="5" w:line="268" w:lineRule="exact"/>
        <w:ind w:left="413" w:right="0" w:hanging="360"/>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STB 00.05 WYKONANIE ROBÓT </w:t>
      </w:r>
    </w:p>
    <w:p w14:paraId="3194CD46">
      <w:pPr>
        <w:numPr>
          <w:ilvl w:val="0"/>
          <w:numId w:val="5"/>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Przed rozpoczęciem robót wykonawca opracuje: </w:t>
      </w:r>
    </w:p>
    <w:p w14:paraId="62546E21">
      <w:pPr>
        <w:spacing w:before="0" w:after="6"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 </w:t>
      </w:r>
    </w:p>
    <w:p w14:paraId="0ECE142A">
      <w:pPr>
        <w:numPr>
          <w:ilvl w:val="0"/>
          <w:numId w:val="6"/>
        </w:numPr>
        <w:spacing w:before="0" w:after="5" w:line="268" w:lineRule="exact"/>
        <w:ind w:left="413" w:right="0" w:hanging="360"/>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STB 00.06 KONTROLA JAKOŚCI ROBÓT </w:t>
      </w:r>
    </w:p>
    <w:p w14:paraId="24276B9A">
      <w:pPr>
        <w:numPr>
          <w:ilvl w:val="0"/>
          <w:numId w:val="6"/>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Program zapewnienia jakości </w:t>
      </w:r>
    </w:p>
    <w:p w14:paraId="1C094110">
      <w:pPr>
        <w:numPr>
          <w:ilvl w:val="0"/>
          <w:numId w:val="6"/>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Zasady kontroli jakości robót </w:t>
      </w:r>
    </w:p>
    <w:p w14:paraId="50471A1A">
      <w:pPr>
        <w:numPr>
          <w:ilvl w:val="0"/>
          <w:numId w:val="6"/>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Pobieranie próbek </w:t>
      </w:r>
    </w:p>
    <w:p w14:paraId="44B2A074">
      <w:pPr>
        <w:numPr>
          <w:ilvl w:val="0"/>
          <w:numId w:val="6"/>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Badania i pomiary </w:t>
      </w:r>
    </w:p>
    <w:p w14:paraId="63A1A541">
      <w:pPr>
        <w:numPr>
          <w:ilvl w:val="0"/>
          <w:numId w:val="6"/>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Raporty z badań </w:t>
      </w:r>
    </w:p>
    <w:p w14:paraId="1706F3D9">
      <w:pPr>
        <w:numPr>
          <w:ilvl w:val="0"/>
          <w:numId w:val="6"/>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Badania prowadzone przez Inspektora nadzoru </w:t>
      </w:r>
    </w:p>
    <w:p w14:paraId="6CB09EE0">
      <w:pPr>
        <w:numPr>
          <w:ilvl w:val="0"/>
          <w:numId w:val="6"/>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Certyfikaty i deklaracje </w:t>
      </w:r>
    </w:p>
    <w:p w14:paraId="6714A97D">
      <w:pPr>
        <w:numPr>
          <w:ilvl w:val="0"/>
          <w:numId w:val="6"/>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Dokumenty budowy </w:t>
      </w:r>
    </w:p>
    <w:p w14:paraId="5B2F9408">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 </w:t>
      </w:r>
    </w:p>
    <w:p w14:paraId="0CAAABC7">
      <w:pPr>
        <w:numPr>
          <w:ilvl w:val="0"/>
          <w:numId w:val="7"/>
        </w:numPr>
        <w:spacing w:before="0" w:after="5" w:line="268" w:lineRule="exact"/>
        <w:ind w:left="413" w:right="0" w:hanging="360"/>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STB 00.07 OBMIAR ROBOT </w:t>
      </w:r>
    </w:p>
    <w:p w14:paraId="5D26DC10">
      <w:pPr>
        <w:numPr>
          <w:ilvl w:val="0"/>
          <w:numId w:val="7"/>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Ogólne zasady obmiaru Robót (dotyczy rozliczenia kosztorysowego) </w:t>
      </w:r>
    </w:p>
    <w:p w14:paraId="546B3F92">
      <w:pPr>
        <w:numPr>
          <w:ilvl w:val="0"/>
          <w:numId w:val="7"/>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Zasady określania ilości Robót i materiałów </w:t>
      </w:r>
    </w:p>
    <w:p w14:paraId="55101921">
      <w:pPr>
        <w:numPr>
          <w:ilvl w:val="0"/>
          <w:numId w:val="7"/>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Urządzenia i sprzęt pomiarowy </w:t>
      </w:r>
    </w:p>
    <w:p w14:paraId="0C9AC627">
      <w:pPr>
        <w:numPr>
          <w:ilvl w:val="0"/>
          <w:numId w:val="7"/>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Czas przeprowadzenia obmiaru </w:t>
      </w:r>
    </w:p>
    <w:p w14:paraId="7C2A03F1">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 </w:t>
      </w:r>
    </w:p>
    <w:p w14:paraId="6484EB28">
      <w:pPr>
        <w:numPr>
          <w:ilvl w:val="0"/>
          <w:numId w:val="8"/>
        </w:numPr>
        <w:spacing w:before="0" w:after="5" w:line="268" w:lineRule="exact"/>
        <w:ind w:left="413" w:right="0" w:hanging="360"/>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STB 00.08 ODBIOR ROBÓT </w:t>
      </w:r>
    </w:p>
    <w:p w14:paraId="727AB364">
      <w:pPr>
        <w:numPr>
          <w:ilvl w:val="0"/>
          <w:numId w:val="8"/>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Rodzaje odbiorów robót </w:t>
      </w:r>
    </w:p>
    <w:p w14:paraId="5254388A">
      <w:pPr>
        <w:numPr>
          <w:ilvl w:val="0"/>
          <w:numId w:val="8"/>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Odbiór robot zanikających i ulegających zakryciu </w:t>
      </w:r>
    </w:p>
    <w:p w14:paraId="499C14B5">
      <w:pPr>
        <w:numPr>
          <w:ilvl w:val="0"/>
          <w:numId w:val="8"/>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Odbiór częściowy </w:t>
      </w:r>
    </w:p>
    <w:p w14:paraId="7261E717">
      <w:pPr>
        <w:numPr>
          <w:ilvl w:val="0"/>
          <w:numId w:val="8"/>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Odbiór ostateczny (końcowy </w:t>
      </w:r>
    </w:p>
    <w:p w14:paraId="3ED8EFF2">
      <w:pPr>
        <w:numPr>
          <w:ilvl w:val="0"/>
          <w:numId w:val="8"/>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Odbiór pogwarancyjny po upływie okresu rękojmi i gwarancji </w:t>
      </w:r>
    </w:p>
    <w:p w14:paraId="24A54892">
      <w:pPr>
        <w:spacing w:before="0" w:after="3"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 </w:t>
      </w:r>
    </w:p>
    <w:p w14:paraId="0772EAF4">
      <w:pPr>
        <w:numPr>
          <w:ilvl w:val="0"/>
          <w:numId w:val="9"/>
        </w:numPr>
        <w:spacing w:before="0" w:after="5" w:line="268" w:lineRule="exact"/>
        <w:ind w:left="413" w:right="0" w:hanging="360"/>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STB 00.09 PODSTAWA PŁATNOŚCI </w:t>
      </w:r>
    </w:p>
    <w:p w14:paraId="1A77D660">
      <w:pPr>
        <w:numPr>
          <w:ilvl w:val="0"/>
          <w:numId w:val="9"/>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Ustalenia ogólne </w:t>
      </w:r>
    </w:p>
    <w:p w14:paraId="5C7BF1FA">
      <w:pPr>
        <w:numPr>
          <w:ilvl w:val="0"/>
          <w:numId w:val="9"/>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Objazdy, przejazdy i organizacja ruchu </w:t>
      </w:r>
    </w:p>
    <w:p w14:paraId="064BA6B7">
      <w:pPr>
        <w:spacing w:before="0" w:after="2"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 </w:t>
      </w:r>
    </w:p>
    <w:p w14:paraId="72B2B79B">
      <w:pPr>
        <w:numPr>
          <w:ilvl w:val="0"/>
          <w:numId w:val="10"/>
        </w:numPr>
        <w:spacing w:before="0" w:after="5" w:line="268" w:lineRule="exact"/>
        <w:ind w:left="413" w:right="0" w:hanging="360"/>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STB 00.10 PRZEPISY ZWIĄZANE </w:t>
      </w:r>
    </w:p>
    <w:p w14:paraId="502E221D">
      <w:pPr>
        <w:numPr>
          <w:ilvl w:val="0"/>
          <w:numId w:val="10"/>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Ustawy </w:t>
      </w:r>
    </w:p>
    <w:p w14:paraId="44EC010A">
      <w:pPr>
        <w:numPr>
          <w:ilvl w:val="0"/>
          <w:numId w:val="10"/>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Rozporządzenia </w:t>
      </w:r>
    </w:p>
    <w:p w14:paraId="471A774D">
      <w:pPr>
        <w:numPr>
          <w:ilvl w:val="0"/>
          <w:numId w:val="10"/>
        </w:numPr>
        <w:spacing w:before="0" w:after="5" w:line="268" w:lineRule="exact"/>
        <w:ind w:left="485" w:right="0" w:hanging="432"/>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Inne dokumenty i instrukcje </w:t>
      </w:r>
    </w:p>
    <w:p w14:paraId="113E194B">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 </w:t>
      </w:r>
    </w:p>
    <w:p w14:paraId="7012BDA6">
      <w:pPr>
        <w:spacing w:before="0" w:after="4" w:line="259" w:lineRule="exact"/>
        <w:ind w:left="490" w:right="0" w:hanging="10"/>
        <w:jc w:val="left"/>
      </w:pPr>
      <w:r>
        <w:rPr>
          <w:rFonts w:ascii="Arial" w:hAnsi="Arial" w:eastAsia="Arial" w:cs="Arial"/>
          <w:b/>
          <w:bCs/>
          <w:color w:val="000000"/>
          <w:spacing w:val="0"/>
          <w:sz w:val="18"/>
          <w:shd w:val="clear" w:fill="FFFFFF"/>
        </w:rPr>
        <w:t>STB 01.01 ROBOTY ROZBIÓRKOWE</w:t>
      </w:r>
      <w:r>
        <w:rPr>
          <w:rFonts w:ascii="Arial" w:hAnsi="Arial" w:eastAsia="Arial" w:cs="Arial"/>
          <w:color w:val="000000"/>
          <w:spacing w:val="0"/>
          <w:sz w:val="18"/>
          <w:shd w:val="clear" w:fill="FFFFFF"/>
        </w:rPr>
        <w:t xml:space="preserve">  kod CPV: 45000000-7; </w:t>
      </w:r>
    </w:p>
    <w:p w14:paraId="466C6A11">
      <w:pPr>
        <w:numPr>
          <w:ilvl w:val="0"/>
          <w:numId w:val="11"/>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Wstęp </w:t>
      </w:r>
    </w:p>
    <w:p w14:paraId="10AC911F">
      <w:pPr>
        <w:numPr>
          <w:ilvl w:val="0"/>
          <w:numId w:val="11"/>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Materiały </w:t>
      </w:r>
    </w:p>
    <w:p w14:paraId="290375DB">
      <w:pPr>
        <w:numPr>
          <w:ilvl w:val="0"/>
          <w:numId w:val="11"/>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Sprzęt </w:t>
      </w:r>
    </w:p>
    <w:p w14:paraId="173D385A">
      <w:pPr>
        <w:numPr>
          <w:ilvl w:val="0"/>
          <w:numId w:val="11"/>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Transport </w:t>
      </w:r>
    </w:p>
    <w:p w14:paraId="72B57426">
      <w:pPr>
        <w:numPr>
          <w:ilvl w:val="0"/>
          <w:numId w:val="11"/>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Wykonanie robót </w:t>
      </w:r>
    </w:p>
    <w:p w14:paraId="2D06CFB4">
      <w:pPr>
        <w:numPr>
          <w:ilvl w:val="0"/>
          <w:numId w:val="11"/>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Kontrola jakości </w:t>
      </w:r>
    </w:p>
    <w:p w14:paraId="18D965FF">
      <w:pPr>
        <w:numPr>
          <w:ilvl w:val="0"/>
          <w:numId w:val="11"/>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Obmiar robót </w:t>
      </w:r>
    </w:p>
    <w:p w14:paraId="78B3FDE2">
      <w:pPr>
        <w:numPr>
          <w:ilvl w:val="0"/>
          <w:numId w:val="11"/>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Odbiór robót </w:t>
      </w:r>
    </w:p>
    <w:p w14:paraId="054630B4">
      <w:pPr>
        <w:numPr>
          <w:ilvl w:val="0"/>
          <w:numId w:val="11"/>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Podstawa płatności </w:t>
      </w:r>
    </w:p>
    <w:p w14:paraId="4F5C0A81">
      <w:pPr>
        <w:numPr>
          <w:ilvl w:val="0"/>
          <w:numId w:val="11"/>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Przepisy związane </w:t>
      </w:r>
    </w:p>
    <w:p w14:paraId="132FED21">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 </w:t>
      </w:r>
    </w:p>
    <w:p w14:paraId="4F7F8767">
      <w:pPr>
        <w:spacing w:before="0" w:after="0" w:line="259" w:lineRule="exact"/>
        <w:ind w:left="495" w:right="0" w:firstLine="0"/>
        <w:jc w:val="left"/>
      </w:pPr>
      <w:r>
        <w:rPr>
          <w:rFonts w:ascii="Arial" w:hAnsi="Arial" w:eastAsia="Arial" w:cs="Arial"/>
          <w:color w:val="000000"/>
          <w:spacing w:val="0"/>
          <w:sz w:val="18"/>
          <w:shd w:val="clear" w:fill="FFFFFF"/>
        </w:rPr>
        <w:t xml:space="preserve"> </w:t>
      </w:r>
      <w:r>
        <w:rPr>
          <w:rFonts w:ascii="Arial" w:hAnsi="Arial" w:eastAsia="Arial" w:cs="Arial"/>
          <w:b/>
          <w:bCs/>
          <w:color w:val="000000"/>
          <w:spacing w:val="0"/>
          <w:sz w:val="18"/>
          <w:shd w:val="clear" w:fill="FFFFFF"/>
        </w:rPr>
        <w:t>STB 01.02 DACH POKRYCIE</w:t>
      </w:r>
      <w:r>
        <w:rPr>
          <w:rFonts w:ascii="Arial" w:hAnsi="Arial" w:eastAsia="Arial" w:cs="Arial"/>
          <w:color w:val="000000"/>
          <w:spacing w:val="0"/>
          <w:sz w:val="18"/>
          <w:shd w:val="clear" w:fill="FFFFFF"/>
        </w:rPr>
        <w:t xml:space="preserve"> kod CPV 45261900-3 </w:t>
      </w:r>
    </w:p>
    <w:p w14:paraId="4127BA54">
      <w:pPr>
        <w:numPr>
          <w:ilvl w:val="0"/>
          <w:numId w:val="12"/>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Wstęp </w:t>
      </w:r>
    </w:p>
    <w:p w14:paraId="1A4C38D1">
      <w:pPr>
        <w:numPr>
          <w:ilvl w:val="0"/>
          <w:numId w:val="12"/>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Materiały </w:t>
      </w:r>
    </w:p>
    <w:p w14:paraId="4E74CDB4">
      <w:pPr>
        <w:numPr>
          <w:ilvl w:val="0"/>
          <w:numId w:val="12"/>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Sprzęt </w:t>
      </w:r>
    </w:p>
    <w:p w14:paraId="6A1AA9AE">
      <w:pPr>
        <w:numPr>
          <w:ilvl w:val="0"/>
          <w:numId w:val="12"/>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Transport </w:t>
      </w:r>
    </w:p>
    <w:p w14:paraId="6A8839CA">
      <w:pPr>
        <w:numPr>
          <w:ilvl w:val="0"/>
          <w:numId w:val="12"/>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Wykonanie robót </w:t>
      </w:r>
    </w:p>
    <w:p w14:paraId="78AF21CD">
      <w:pPr>
        <w:numPr>
          <w:ilvl w:val="0"/>
          <w:numId w:val="12"/>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Kontrola jakości </w:t>
      </w:r>
    </w:p>
    <w:p w14:paraId="4230E3CD">
      <w:pPr>
        <w:numPr>
          <w:ilvl w:val="0"/>
          <w:numId w:val="12"/>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Obmiar robót </w:t>
      </w:r>
    </w:p>
    <w:p w14:paraId="384EFDAC">
      <w:pPr>
        <w:numPr>
          <w:ilvl w:val="0"/>
          <w:numId w:val="12"/>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Odbiór robót </w:t>
      </w:r>
    </w:p>
    <w:p w14:paraId="7DFAC9FD">
      <w:pPr>
        <w:numPr>
          <w:ilvl w:val="0"/>
          <w:numId w:val="12"/>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Podstawa płatności </w:t>
      </w:r>
    </w:p>
    <w:p w14:paraId="4F5E0400">
      <w:pPr>
        <w:numPr>
          <w:ilvl w:val="0"/>
          <w:numId w:val="12"/>
        </w:numPr>
        <w:spacing w:before="0" w:after="5" w:line="268" w:lineRule="exact"/>
        <w:ind w:left="1239" w:right="0" w:hanging="1186"/>
        <w:jc w:val="both"/>
        <w:rPr>
          <w:rFonts w:ascii="Arial" w:hAnsi="Arial" w:eastAsia="Arial" w:cs="Arial"/>
          <w:color w:val="000000"/>
          <w:spacing w:val="0"/>
          <w:sz w:val="20"/>
          <w:highlight w:val="white"/>
        </w:rPr>
      </w:pPr>
      <w:r>
        <w:rPr>
          <w:rFonts w:ascii="Arial" w:hAnsi="Arial" w:eastAsia="Arial" w:cs="Arial"/>
          <w:color w:val="000000"/>
          <w:spacing w:val="0"/>
          <w:sz w:val="18"/>
          <w:shd w:val="clear" w:fill="FFFFFF"/>
        </w:rPr>
        <w:t xml:space="preserve">Przepisy związane </w:t>
      </w:r>
    </w:p>
    <w:p w14:paraId="725BBEFC">
      <w:pPr>
        <w:spacing w:before="0" w:after="0" w:line="259" w:lineRule="exact"/>
        <w:ind w:left="495" w:right="0" w:firstLine="0"/>
        <w:jc w:val="left"/>
      </w:pPr>
      <w:r>
        <w:rPr>
          <w:rFonts w:ascii="Arial" w:hAnsi="Arial" w:eastAsia="Arial" w:cs="Arial"/>
          <w:color w:val="000000"/>
          <w:spacing w:val="0"/>
          <w:sz w:val="18"/>
          <w:shd w:val="clear" w:fill="FFFFFF"/>
        </w:rPr>
        <w:t xml:space="preserve"> </w:t>
      </w:r>
    </w:p>
    <w:p w14:paraId="2EF88723">
      <w:pPr>
        <w:spacing w:before="0" w:after="0" w:line="259" w:lineRule="exact"/>
        <w:ind w:left="495" w:right="0" w:firstLine="0"/>
        <w:jc w:val="left"/>
        <w:rPr>
          <w:rFonts w:ascii="Arial" w:hAnsi="Arial" w:eastAsia="Arial" w:cs="Arial"/>
          <w:color w:val="000000"/>
          <w:spacing w:val="0"/>
          <w:sz w:val="18"/>
          <w:highlight w:val="white"/>
        </w:rPr>
      </w:pPr>
    </w:p>
    <w:p w14:paraId="71D1FA39">
      <w:pPr>
        <w:spacing w:before="0" w:after="0" w:line="259" w:lineRule="exact"/>
        <w:ind w:left="495" w:right="0" w:firstLine="0"/>
        <w:jc w:val="left"/>
        <w:rPr>
          <w:rFonts w:ascii="Arial" w:hAnsi="Arial" w:eastAsia="Arial" w:cs="Arial"/>
          <w:color w:val="000000"/>
          <w:spacing w:val="0"/>
          <w:sz w:val="18"/>
          <w:highlight w:val="white"/>
        </w:rPr>
      </w:pPr>
    </w:p>
    <w:p w14:paraId="5DFF937C">
      <w:pPr>
        <w:spacing w:before="0" w:after="0" w:line="259" w:lineRule="exact"/>
        <w:ind w:left="495" w:right="0" w:firstLine="0"/>
        <w:jc w:val="left"/>
        <w:rPr>
          <w:rFonts w:ascii="Arial" w:hAnsi="Arial" w:eastAsia="Arial" w:cs="Arial"/>
          <w:color w:val="000000"/>
          <w:spacing w:val="0"/>
          <w:sz w:val="18"/>
          <w:highlight w:val="white"/>
        </w:rPr>
      </w:pPr>
    </w:p>
    <w:p w14:paraId="54FD5ECB">
      <w:pPr>
        <w:spacing w:before="0" w:after="0" w:line="259" w:lineRule="exact"/>
        <w:ind w:left="495" w:right="0" w:firstLine="0"/>
        <w:jc w:val="left"/>
        <w:rPr>
          <w:rFonts w:ascii="Arial" w:hAnsi="Arial" w:eastAsia="Arial" w:cs="Arial"/>
          <w:color w:val="000000"/>
          <w:spacing w:val="0"/>
          <w:sz w:val="18"/>
          <w:highlight w:val="white"/>
        </w:rPr>
      </w:pPr>
    </w:p>
    <w:p w14:paraId="23A63FA4">
      <w:pPr>
        <w:spacing w:before="0" w:after="0" w:line="259" w:lineRule="exact"/>
        <w:ind w:left="495" w:right="0" w:firstLine="0"/>
        <w:jc w:val="left"/>
        <w:rPr>
          <w:rFonts w:ascii="Arial" w:hAnsi="Arial" w:eastAsia="Arial" w:cs="Arial"/>
          <w:color w:val="000000"/>
          <w:spacing w:val="0"/>
          <w:sz w:val="18"/>
          <w:highlight w:val="white"/>
        </w:rPr>
      </w:pPr>
    </w:p>
    <w:p w14:paraId="1E990805">
      <w:pPr>
        <w:spacing w:before="0" w:after="0" w:line="259" w:lineRule="exact"/>
        <w:ind w:left="495" w:right="0" w:firstLine="0"/>
        <w:jc w:val="left"/>
        <w:rPr>
          <w:rFonts w:ascii="Arial" w:hAnsi="Arial" w:eastAsia="Arial" w:cs="Arial"/>
          <w:color w:val="000000"/>
          <w:spacing w:val="0"/>
          <w:sz w:val="18"/>
          <w:highlight w:val="white"/>
        </w:rPr>
      </w:pPr>
    </w:p>
    <w:p w14:paraId="6E437303">
      <w:pPr>
        <w:spacing w:before="0" w:after="0" w:line="259" w:lineRule="exact"/>
        <w:ind w:left="495" w:right="0" w:firstLine="0"/>
        <w:jc w:val="left"/>
        <w:rPr>
          <w:rFonts w:ascii="Arial" w:hAnsi="Arial" w:eastAsia="Arial" w:cs="Arial"/>
          <w:color w:val="000000"/>
          <w:spacing w:val="0"/>
          <w:sz w:val="18"/>
          <w:highlight w:val="white"/>
        </w:rPr>
      </w:pPr>
    </w:p>
    <w:p w14:paraId="79E0E138">
      <w:pPr>
        <w:spacing w:before="0" w:after="0" w:line="259" w:lineRule="exact"/>
        <w:ind w:left="495" w:right="0" w:firstLine="0"/>
        <w:jc w:val="left"/>
        <w:rPr>
          <w:rFonts w:ascii="Arial" w:hAnsi="Arial" w:eastAsia="Arial" w:cs="Arial"/>
          <w:color w:val="000000"/>
          <w:spacing w:val="0"/>
          <w:sz w:val="18"/>
          <w:highlight w:val="white"/>
        </w:rPr>
      </w:pPr>
    </w:p>
    <w:p w14:paraId="24DD8E20">
      <w:pPr>
        <w:spacing w:before="0" w:after="0" w:line="259" w:lineRule="exact"/>
        <w:ind w:left="495" w:right="0" w:firstLine="0"/>
        <w:jc w:val="left"/>
        <w:rPr>
          <w:rFonts w:ascii="Arial" w:hAnsi="Arial" w:eastAsia="Arial" w:cs="Arial"/>
          <w:color w:val="000000"/>
          <w:spacing w:val="0"/>
          <w:sz w:val="18"/>
          <w:highlight w:val="white"/>
        </w:rPr>
      </w:pPr>
    </w:p>
    <w:p w14:paraId="444EC38C">
      <w:pPr>
        <w:spacing w:before="0" w:after="0" w:line="259" w:lineRule="exact"/>
        <w:ind w:left="495" w:right="0" w:firstLine="0"/>
        <w:jc w:val="left"/>
        <w:rPr>
          <w:rFonts w:ascii="Arial" w:hAnsi="Arial" w:eastAsia="Arial" w:cs="Arial"/>
          <w:color w:val="000000"/>
          <w:spacing w:val="0"/>
          <w:sz w:val="18"/>
          <w:highlight w:val="white"/>
        </w:rPr>
      </w:pPr>
    </w:p>
    <w:p w14:paraId="54172B0D">
      <w:pPr>
        <w:spacing w:before="0" w:after="0" w:line="259" w:lineRule="exact"/>
        <w:ind w:left="495" w:right="0" w:firstLine="0"/>
        <w:jc w:val="left"/>
        <w:rPr>
          <w:rFonts w:ascii="Arial" w:hAnsi="Arial" w:eastAsia="Arial" w:cs="Arial"/>
          <w:color w:val="000000"/>
          <w:spacing w:val="0"/>
          <w:sz w:val="18"/>
          <w:highlight w:val="white"/>
        </w:rPr>
      </w:pPr>
    </w:p>
    <w:p w14:paraId="184A81E3">
      <w:pPr>
        <w:spacing w:before="0" w:after="0" w:line="259" w:lineRule="exact"/>
        <w:ind w:left="495" w:right="0" w:firstLine="0"/>
        <w:jc w:val="left"/>
        <w:rPr>
          <w:rFonts w:ascii="Arial" w:hAnsi="Arial" w:eastAsia="Arial" w:cs="Arial"/>
          <w:color w:val="000000"/>
          <w:spacing w:val="0"/>
          <w:sz w:val="18"/>
          <w:highlight w:val="white"/>
        </w:rPr>
      </w:pPr>
    </w:p>
    <w:p w14:paraId="70977B22">
      <w:pPr>
        <w:spacing w:before="0" w:after="0" w:line="259" w:lineRule="exact"/>
        <w:ind w:left="495" w:right="0" w:firstLine="0"/>
        <w:jc w:val="left"/>
        <w:rPr>
          <w:rFonts w:ascii="Arial" w:hAnsi="Arial" w:eastAsia="Arial" w:cs="Arial"/>
          <w:color w:val="000000"/>
          <w:spacing w:val="0"/>
          <w:sz w:val="18"/>
          <w:highlight w:val="white"/>
        </w:rPr>
      </w:pPr>
    </w:p>
    <w:p w14:paraId="49106133">
      <w:pPr>
        <w:spacing w:before="0" w:after="0" w:line="259" w:lineRule="exact"/>
        <w:ind w:left="495" w:right="0" w:firstLine="0"/>
        <w:jc w:val="left"/>
        <w:rPr>
          <w:rFonts w:ascii="Arial" w:hAnsi="Arial" w:eastAsia="Arial" w:cs="Arial"/>
          <w:color w:val="000000"/>
          <w:spacing w:val="0"/>
          <w:sz w:val="18"/>
          <w:highlight w:val="white"/>
        </w:rPr>
      </w:pPr>
    </w:p>
    <w:p w14:paraId="7A5D63DE">
      <w:pPr>
        <w:spacing w:before="0" w:after="5" w:line="252" w:lineRule="exact"/>
        <w:ind w:left="490" w:right="0" w:hanging="10"/>
        <w:jc w:val="both"/>
      </w:pPr>
      <w:r>
        <w:rPr>
          <w:rFonts w:ascii="Arial" w:hAnsi="Arial" w:eastAsia="Arial" w:cs="Arial"/>
          <w:b/>
          <w:color w:val="000000"/>
          <w:spacing w:val="0"/>
          <w:sz w:val="20"/>
          <w:shd w:val="clear" w:fill="FFFFFF"/>
        </w:rPr>
        <w:t xml:space="preserve">SPECYFIKACJA TECHNICZNA - ZAŁOŻENIA OGÓLNE STB 00.00 </w:t>
      </w:r>
    </w:p>
    <w:p w14:paraId="22BEAE8D">
      <w:pPr>
        <w:spacing w:before="0" w:after="11"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AFF34E1">
      <w:pPr>
        <w:keepNext/>
        <w:keepLines/>
        <w:spacing w:before="0" w:after="5" w:line="252" w:lineRule="exact"/>
        <w:ind w:left="145" w:right="0" w:hanging="10"/>
        <w:jc w:val="both"/>
        <w:rPr>
          <w:rFonts w:ascii="Arial" w:hAnsi="Arial" w:eastAsia="Arial" w:cs="Arial"/>
          <w:b/>
          <w:color w:val="000000"/>
          <w:spacing w:val="0"/>
          <w:sz w:val="20"/>
          <w:highlight w:val="white"/>
        </w:rPr>
      </w:pPr>
      <w:r>
        <w:rPr>
          <w:rFonts w:ascii="Arial" w:hAnsi="Arial" w:eastAsia="Arial" w:cs="Arial"/>
          <w:b/>
          <w:color w:val="000000"/>
          <w:spacing w:val="0"/>
          <w:sz w:val="20"/>
          <w:shd w:val="clear" w:fill="FFFFFF"/>
        </w:rPr>
        <w:t xml:space="preserve">1. STB 00.01 WSTĘP </w:t>
      </w:r>
    </w:p>
    <w:p w14:paraId="6217F9E0">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040A538">
      <w:pPr>
        <w:keepNext/>
        <w:keepLines/>
        <w:spacing w:before="0" w:after="26" w:line="252" w:lineRule="exact"/>
        <w:ind w:left="73" w:right="0" w:hanging="10"/>
        <w:jc w:val="both"/>
        <w:rPr>
          <w:rFonts w:ascii="Arial" w:hAnsi="Arial" w:eastAsia="Arial" w:cs="Arial"/>
          <w:b/>
          <w:color w:val="000000"/>
          <w:spacing w:val="0"/>
          <w:sz w:val="28"/>
          <w:highlight w:val="white"/>
        </w:rPr>
      </w:pPr>
      <w:r>
        <w:rPr>
          <w:rFonts w:ascii="Arial" w:hAnsi="Arial" w:eastAsia="Arial" w:cs="Arial"/>
          <w:b/>
          <w:color w:val="000000"/>
          <w:spacing w:val="0"/>
          <w:sz w:val="20"/>
          <w:shd w:val="clear" w:fill="FFFFFF"/>
        </w:rPr>
        <w:t xml:space="preserve">1.1. PRZEDMIOT SPECYFIKACJI </w:t>
      </w:r>
    </w:p>
    <w:p w14:paraId="6FBD1BC0">
      <w:pPr>
        <w:spacing w:before="0" w:after="5" w:line="267" w:lineRule="exact"/>
        <w:ind w:left="490" w:right="10" w:hanging="10"/>
        <w:jc w:val="both"/>
      </w:pPr>
      <w:r>
        <w:rPr>
          <w:rFonts w:ascii="Arial" w:hAnsi="Arial" w:eastAsia="Arial" w:cs="Arial"/>
          <w:color w:val="000000"/>
          <w:spacing w:val="0"/>
          <w:sz w:val="20"/>
          <w:shd w:val="clear" w:fill="FFFFFF"/>
        </w:rPr>
        <w:t xml:space="preserve">Przedmiotem niniejszej standardowej specyfikacji technicznej (ST) są wymagania ogólne dotyczące wykonania i odbioru robót dla zadania inwestycyjnego pn. </w:t>
      </w:r>
      <w:r>
        <w:rPr>
          <w:rFonts w:ascii="Arial" w:hAnsi="Arial" w:eastAsia="Arial" w:cs="Arial"/>
          <w:b w:val="0"/>
          <w:bCs w:val="0"/>
          <w:color w:val="000000"/>
          <w:spacing w:val="0"/>
          <w:sz w:val="20"/>
          <w:szCs w:val="20"/>
          <w:shd w:val="clear" w:fill="FFFFFF"/>
        </w:rPr>
        <w:t>„</w:t>
      </w:r>
      <w:r>
        <w:rPr>
          <w:rFonts w:ascii="Arial" w:hAnsi="Arial" w:eastAsia="Times New Roman" w:cs="Trebuchet MS"/>
          <w:b w:val="0"/>
          <w:bCs w:val="0"/>
          <w:color w:val="000000"/>
          <w:spacing w:val="0"/>
          <w:sz w:val="20"/>
          <w:szCs w:val="20"/>
          <w:shd w:val="clear" w:fill="FFFFFF"/>
        </w:rPr>
        <w:t xml:space="preserve">Modernizacja </w:t>
      </w:r>
      <w:r>
        <w:rPr>
          <w:rFonts w:hint="default" w:ascii="Arial" w:hAnsi="Arial" w:eastAsia="Times New Roman" w:cs="Trebuchet MS"/>
          <w:b w:val="0"/>
          <w:bCs w:val="0"/>
          <w:color w:val="000000"/>
          <w:spacing w:val="0"/>
          <w:sz w:val="20"/>
          <w:szCs w:val="20"/>
          <w:shd w:val="clear" w:fill="FFFFFF"/>
          <w:lang w:val="pl-PL"/>
        </w:rPr>
        <w:t>remizy strażackiej OSP Domaniewice</w:t>
      </w:r>
      <w:r>
        <w:rPr>
          <w:rFonts w:ascii="Arial" w:hAnsi="Arial" w:eastAsia="Arial" w:cs="Arial"/>
          <w:b w:val="0"/>
          <w:bCs w:val="0"/>
          <w:color w:val="000000"/>
          <w:spacing w:val="0"/>
          <w:sz w:val="20"/>
          <w:szCs w:val="20"/>
          <w:shd w:val="clear" w:fill="FFFFFF"/>
        </w:rPr>
        <w:t xml:space="preserve">”  </w:t>
      </w:r>
    </w:p>
    <w:p w14:paraId="47904115">
      <w:pPr>
        <w:spacing w:before="0" w:after="17"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A04F96B">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Ogólny opis inwestycji </w:t>
      </w:r>
    </w:p>
    <w:p w14:paraId="117F6E42">
      <w:pPr>
        <w:spacing w:before="0" w:after="5" w:line="267" w:lineRule="exact"/>
        <w:ind w:left="490" w:right="10" w:hanging="10"/>
        <w:jc w:val="both"/>
      </w:pPr>
      <w:r>
        <w:rPr>
          <w:rFonts w:ascii="Arial" w:hAnsi="Arial" w:eastAsia="Arial" w:cs="Trebuchet MS"/>
          <w:color w:val="000000"/>
          <w:spacing w:val="0"/>
          <w:sz w:val="20"/>
          <w:szCs w:val="20"/>
          <w:shd w:val="clear" w:fill="FFFFFF"/>
        </w:rPr>
        <w:t xml:space="preserve"> Planowana wymiana pokrycia dachowego na blachę trapezową wraz z orynnowaniem. </w:t>
      </w:r>
    </w:p>
    <w:p w14:paraId="7E2B88C9">
      <w:pPr>
        <w:spacing w:before="0" w:after="0" w:line="259" w:lineRule="exact"/>
        <w:ind w:left="495" w:right="0" w:firstLine="0"/>
        <w:jc w:val="left"/>
      </w:pPr>
      <w:r>
        <w:rPr>
          <w:rFonts w:ascii="Arial" w:hAnsi="Arial" w:eastAsia="Arial" w:cs="Arial"/>
          <w:color w:val="000000"/>
          <w:spacing w:val="0"/>
          <w:sz w:val="20"/>
          <w:shd w:val="clear" w:fill="FFFFFF"/>
        </w:rPr>
        <w:t xml:space="preserve"> </w:t>
      </w:r>
    </w:p>
    <w:p w14:paraId="7BFBB4D2">
      <w:pPr>
        <w:keepNext/>
        <w:keepLines/>
        <w:spacing w:before="0" w:after="5" w:line="252" w:lineRule="exact"/>
        <w:ind w:left="10" w:right="0" w:hanging="10"/>
        <w:jc w:val="both"/>
        <w:rPr>
          <w:rFonts w:ascii="Arial" w:hAnsi="Arial" w:eastAsia="Arial" w:cs="Arial"/>
          <w:b/>
          <w:color w:val="000000"/>
          <w:spacing w:val="0"/>
          <w:sz w:val="28"/>
          <w:highlight w:val="white"/>
        </w:rPr>
      </w:pPr>
      <w:r>
        <w:rPr>
          <w:rFonts w:ascii="Arial" w:hAnsi="Arial" w:eastAsia="Arial" w:cs="Arial"/>
          <w:b/>
          <w:color w:val="000000"/>
          <w:spacing w:val="0"/>
          <w:sz w:val="20"/>
          <w:shd w:val="clear" w:fill="FFFFFF"/>
        </w:rPr>
        <w:t xml:space="preserve">1.2 ZAKRES STOSOWANIA SPECYFIKACJI TECHNICZNEJ </w:t>
      </w:r>
    </w:p>
    <w:p w14:paraId="29987031">
      <w:pPr>
        <w:spacing w:before="0" w:after="37" w:line="259" w:lineRule="exact"/>
        <w:ind w:left="534" w:right="0" w:firstLine="0"/>
        <w:jc w:val="center"/>
        <w:rPr>
          <w:rFonts w:ascii="Arial" w:hAnsi="Arial" w:eastAsia="Arial" w:cs="Arial"/>
          <w:color w:val="000000"/>
          <w:spacing w:val="0"/>
          <w:sz w:val="20"/>
          <w:highlight w:val="white"/>
        </w:rPr>
      </w:pPr>
      <w:r>
        <w:rPr>
          <w:rFonts w:ascii="Cambria" w:hAnsi="Cambria" w:eastAsia="Cambria" w:cs="Cambria"/>
          <w:color w:val="000000"/>
          <w:spacing w:val="0"/>
          <w:sz w:val="20"/>
          <w:shd w:val="clear" w:fill="FFFFFF"/>
        </w:rPr>
        <w:t xml:space="preserve"> </w:t>
      </w:r>
    </w:p>
    <w:p w14:paraId="0810C6E5">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Specyfikacja techniczna (ST) jest dokumentem przetargowy i kontraktowy przy zlecaniu i realizacji robót wymienionych w pkt. 1.1. Projektant sporządzający dokumentację projektową i odpowiednie specyfikacje techniczne wykonania i odbioru robót budowlanych może wprowadzać do niniejszej standardowej specyfikacji zmiany, uzupełnienia lub uściślenia, odpowiednie dla przewidzianych projektem zadania, obiektu i robót, uwzględniające wymagania Zamawiającego oraz konkretne warunki realizacji zadania, obiektu i robót, które są niezbędne do określania ich standardu i jakości. 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 Specyfikacje Techniczne stanowią część Dokumentów Przetargowych i należy je stosować w zlecaniu i wykonaniu Robót opisanych w podpunkcie 1.3. </w:t>
      </w:r>
    </w:p>
    <w:p w14:paraId="4316A20A">
      <w:pPr>
        <w:spacing w:before="0" w:after="13"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A625A5C">
      <w:pPr>
        <w:keepNext/>
        <w:keepLines/>
        <w:spacing w:before="0" w:after="5" w:line="252" w:lineRule="exact"/>
        <w:ind w:left="114" w:right="0" w:hanging="10"/>
        <w:jc w:val="both"/>
        <w:rPr>
          <w:rFonts w:ascii="Arial" w:hAnsi="Arial" w:eastAsia="Arial" w:cs="Arial"/>
          <w:b/>
          <w:color w:val="000000"/>
          <w:spacing w:val="0"/>
          <w:sz w:val="28"/>
          <w:highlight w:val="white"/>
        </w:rPr>
      </w:pPr>
      <w:r>
        <w:rPr>
          <w:rFonts w:ascii="Arial" w:hAnsi="Arial" w:eastAsia="Arial" w:cs="Arial"/>
          <w:b/>
          <w:color w:val="000000"/>
          <w:spacing w:val="0"/>
          <w:sz w:val="20"/>
          <w:shd w:val="clear" w:fill="FFFFFF"/>
        </w:rPr>
        <w:t xml:space="preserve">1.3. ZAKRES ROBÓT OBJETYCH SPECYFIKACJĄ TECHNICZNĄ </w:t>
      </w:r>
    </w:p>
    <w:p w14:paraId="60C07018">
      <w:pPr>
        <w:spacing w:before="0" w:after="16"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F81AB05">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Roboty objęte S.T. obejmują roboty niezbędne przy wykonaniu w/w zadania inwestycyjnego, polegające na pracach: </w:t>
      </w:r>
    </w:p>
    <w:p w14:paraId="068F0CEC">
      <w:pPr>
        <w:numPr>
          <w:ilvl w:val="0"/>
          <w:numId w:val="13"/>
        </w:numPr>
        <w:spacing w:before="0" w:after="5" w:line="267" w:lineRule="exact"/>
        <w:ind w:left="840" w:right="10" w:hanging="360"/>
        <w:jc w:val="both"/>
      </w:pPr>
      <w:r>
        <w:rPr>
          <w:rFonts w:ascii="Arial" w:hAnsi="Arial" w:eastAsia="Arial" w:cs="Arial"/>
          <w:color w:val="000000"/>
          <w:spacing w:val="0"/>
          <w:sz w:val="20"/>
          <w:shd w:val="clear" w:fill="FFFFFF"/>
        </w:rPr>
        <w:t xml:space="preserve">Roboty rozbiórkowe. </w:t>
      </w:r>
      <w:r>
        <w:rPr>
          <w:rFonts w:ascii="Arial" w:hAnsi="Arial" w:eastAsia="Arial" w:cs="Arial"/>
          <w:color w:val="000000"/>
          <w:spacing w:val="0"/>
          <w:sz w:val="20"/>
          <w:szCs w:val="20"/>
          <w:shd w:val="clear" w:fill="FFFFFF"/>
        </w:rPr>
        <w:t xml:space="preserve">kod CPV: 45000000-7; </w:t>
      </w:r>
    </w:p>
    <w:p w14:paraId="68E89BB3">
      <w:pPr>
        <w:numPr>
          <w:ilvl w:val="0"/>
          <w:numId w:val="14"/>
        </w:numPr>
        <w:tabs>
          <w:tab w:val="left" w:pos="855"/>
        </w:tabs>
        <w:spacing w:before="0" w:after="5" w:line="267" w:lineRule="exact"/>
        <w:jc w:val="both"/>
      </w:pPr>
      <w:r>
        <w:rPr>
          <w:rFonts w:ascii="Arial" w:hAnsi="Arial" w:eastAsia="Arial" w:cs="Arial"/>
          <w:color w:val="000000"/>
          <w:spacing w:val="0"/>
          <w:sz w:val="20"/>
          <w:shd w:val="clear" w:fill="FFFFFF"/>
        </w:rPr>
        <w:t xml:space="preserve">Dach pokrycie  </w:t>
      </w:r>
      <w:r>
        <w:rPr>
          <w:rFonts w:ascii="Arial" w:hAnsi="Arial" w:eastAsia="Arial" w:cs="Arial"/>
          <w:color w:val="000000"/>
          <w:spacing w:val="0"/>
          <w:sz w:val="20"/>
          <w:shd w:val="clear" w:fill="FFFFFF"/>
        </w:rPr>
        <w:tab/>
      </w:r>
      <w:r>
        <w:rPr>
          <w:rFonts w:ascii="Arial" w:hAnsi="Arial" w:eastAsia="Arial" w:cs="Arial"/>
          <w:color w:val="000000"/>
          <w:spacing w:val="0"/>
          <w:sz w:val="20"/>
          <w:szCs w:val="20"/>
          <w:shd w:val="clear" w:fill="FFFFFF"/>
        </w:rPr>
        <w:t xml:space="preserve">kod CPV </w:t>
      </w:r>
      <w:r>
        <w:rPr>
          <w:rFonts w:hint="default" w:ascii="Trebuchet MS" w:hAnsi="Trebuchet MS" w:eastAsia="Times New Roman" w:cs="Trebuchet MS"/>
          <w:color w:val="000000"/>
          <w:sz w:val="20"/>
          <w:szCs w:val="20"/>
          <w:lang w:bidi="ar-SA"/>
        </w:rPr>
        <w:t>4526</w:t>
      </w:r>
      <w:r>
        <w:rPr>
          <w:rFonts w:hint="default" w:ascii="Trebuchet MS" w:hAnsi="Trebuchet MS" w:cs="Trebuchet MS"/>
          <w:color w:val="000000"/>
          <w:sz w:val="20"/>
          <w:szCs w:val="20"/>
          <w:lang w:val="pl-PL" w:bidi="ar-SA"/>
        </w:rPr>
        <w:t>00</w:t>
      </w:r>
      <w:r>
        <w:rPr>
          <w:rFonts w:hint="default" w:ascii="Trebuchet MS" w:hAnsi="Trebuchet MS" w:eastAsia="Times New Roman" w:cs="Trebuchet MS"/>
          <w:color w:val="000000"/>
          <w:sz w:val="20"/>
          <w:szCs w:val="20"/>
          <w:lang w:bidi="ar-SA"/>
        </w:rPr>
        <w:t>00-</w:t>
      </w:r>
      <w:r>
        <w:rPr>
          <w:rFonts w:hint="default" w:ascii="Trebuchet MS" w:hAnsi="Trebuchet MS" w:cs="Trebuchet MS"/>
          <w:color w:val="000000"/>
          <w:sz w:val="20"/>
          <w:szCs w:val="20"/>
          <w:lang w:val="pl-PL" w:bidi="ar-SA"/>
        </w:rPr>
        <w:t>7</w:t>
      </w:r>
    </w:p>
    <w:p w14:paraId="5C886E29">
      <w:pPr>
        <w:numPr>
          <w:ilvl w:val="0"/>
          <w:numId w:val="0"/>
        </w:numPr>
        <w:spacing w:before="0" w:after="5" w:line="267" w:lineRule="exact"/>
        <w:ind w:left="1200" w:right="10" w:firstLine="0"/>
        <w:jc w:val="both"/>
        <w:rPr>
          <w:rFonts w:ascii="Calibri" w:hAnsi="Calibri" w:eastAsia="Calibri" w:cs="Calibri"/>
          <w:color w:val="000000"/>
          <w:spacing w:val="0"/>
          <w:sz w:val="22"/>
          <w:highlight w:val="white"/>
        </w:rPr>
      </w:pPr>
    </w:p>
    <w:p w14:paraId="533A252C">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Niezależnie od postanowień Warunków Szczególnych normy państwowe, instrukcje i przepisy wymienione w Specyfikacjach Technicznych będą stosowane przez Wykonawcę w języku polskim. </w:t>
      </w:r>
    </w:p>
    <w:p w14:paraId="22904078">
      <w:pPr>
        <w:spacing w:before="0" w:after="0" w:line="259" w:lineRule="exact"/>
        <w:ind w:left="534" w:right="0" w:firstLine="0"/>
        <w:jc w:val="center"/>
        <w:rPr>
          <w:rFonts w:ascii="Arial" w:hAnsi="Arial" w:eastAsia="Arial" w:cs="Arial"/>
          <w:color w:val="000000"/>
          <w:spacing w:val="0"/>
          <w:sz w:val="20"/>
          <w:highlight w:val="white"/>
        </w:rPr>
      </w:pPr>
      <w:r>
        <w:rPr>
          <w:rFonts w:ascii="Cambria" w:hAnsi="Cambria" w:eastAsia="Cambria" w:cs="Cambria"/>
          <w:color w:val="000000"/>
          <w:spacing w:val="0"/>
          <w:sz w:val="20"/>
          <w:shd w:val="clear" w:fill="FFFFFF"/>
        </w:rPr>
        <w:t xml:space="preserve"> </w:t>
      </w:r>
    </w:p>
    <w:p w14:paraId="7D0DA838">
      <w:pPr>
        <w:keepNext/>
        <w:keepLines/>
        <w:spacing w:before="0" w:after="5" w:line="252" w:lineRule="exact"/>
        <w:ind w:left="73" w:right="0" w:hanging="10"/>
        <w:jc w:val="both"/>
      </w:pPr>
      <w:r>
        <w:rPr>
          <w:rFonts w:ascii="Arial" w:hAnsi="Arial" w:eastAsia="Arial" w:cs="Arial"/>
          <w:b/>
          <w:color w:val="000000"/>
          <w:spacing w:val="0"/>
          <w:sz w:val="20"/>
          <w:shd w:val="clear" w:fill="FFFFFF"/>
        </w:rPr>
        <w:t xml:space="preserve">1.4. OKREŚLENIA PODSTAWOWE </w:t>
      </w:r>
    </w:p>
    <w:p w14:paraId="3986C72F">
      <w:pPr>
        <w:spacing w:before="0" w:after="17"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DF31B25">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Ilekroć w ST jest mowa o: </w:t>
      </w:r>
    </w:p>
    <w:p w14:paraId="105D8718">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Cena - należy przez to rozumieć cenę w rozumieniu art. 3 ust. 1 pkt. 1 ustawy z dnia 5 lipca 2001 r. o cenach (Dz. U. Nr 97, poz. 1050, z 2002 r. Nr 144, poz. 1204 oraz z 2003 r. Nr 137, poz. 1302); </w:t>
      </w:r>
    </w:p>
    <w:p w14:paraId="3D056DE9">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Najkorzystniejszej ofercie - należy przez to rozumieć ofertę, która przedstawia najkorzystniejszy bilans ceny i innych kryteriów odnoszących się do przedmiotu zamówienia publicznego, albo ofertę z najniższą ceną, a w przypadku zamówień publicznych w zakresie działalności twórczej lub naukowej, których przedmiotu nie można z góry opisać w sposób jednoznaczny i wyczerpujący - ofertę, która przedstawia najkorzystniejszy bilans ceny i innych kryteriów odnoszących się do przedmiotu zamówienia publicznego; </w:t>
      </w:r>
    </w:p>
    <w:p w14:paraId="34140A5B">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Usługa należy przez to rozumieć wszelkie świadczenia, których przedmiotem nie są roboty budowlane lub dostawy; </w:t>
      </w:r>
    </w:p>
    <w:p w14:paraId="59D97A9A">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 należy przez to rozumieć osobę fizyczną, osobę prawną albo jednostkę organizacyjną nieposiadającą osobowości prawnej, która ubiega się o udzielenie zamówienia publicznego, złożyła ofertę lub zawarła umowę w sprawie zamówienia publicznego; 5) obiekcie budowlanym - należy przez to rozumieć: </w:t>
      </w:r>
    </w:p>
    <w:p w14:paraId="15E8A9A8">
      <w:pPr>
        <w:numPr>
          <w:ilvl w:val="0"/>
          <w:numId w:val="15"/>
        </w:numPr>
        <w:spacing w:before="0" w:after="5" w:line="267" w:lineRule="exact"/>
        <w:ind w:left="1575" w:right="44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budynek wraz z instalacjami i urządzeniami technicznymi, </w:t>
      </w:r>
    </w:p>
    <w:p w14:paraId="3876C1E5">
      <w:pPr>
        <w:numPr>
          <w:ilvl w:val="0"/>
          <w:numId w:val="15"/>
        </w:numPr>
        <w:spacing w:before="0" w:after="5" w:line="267" w:lineRule="exact"/>
        <w:ind w:left="1575" w:right="44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budowlę stanowiącą całość techniczno-użytkową wraz z instalacjami i urządzeniami, c) obiekt małej architektury; </w:t>
      </w:r>
    </w:p>
    <w:p w14:paraId="4679E2E4">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budynku - należy przez to rozumieć taki obiekt budowlany, który jest trwale związany z gruntem, wydzielony z przestrzeni za pomocą przegród budowlanych oraz posiada fundamenty i dach. </w:t>
      </w:r>
    </w:p>
    <w:p w14:paraId="38DE4261">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budynku mieszkalnym jednorodzinnym - należy przez to rozumieć budynek wolno stojący albo budynek o zabudowie bliźniaczej, szeregowej lub grupowej, służący zaspokajaniu potrzeb mieszkaniowych, stanowiący konstrukcyjnie samodzielną całość, w którym dopuszcza się wydzielenie nie więcej niż dwóch lokali mieszkalnych albo jednego lokalu mieszkalnego i lokalu użytkowego o powierzchni całkowitej nieprzekraczającej 30% powierzchni całkowitej budynku. </w:t>
      </w:r>
    </w:p>
    <w:p w14:paraId="4D52575F">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budowli - należy przez to rozumieć każdy obiekt budowlany nie będący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 </w:t>
      </w:r>
    </w:p>
    <w:p w14:paraId="0D5A5624">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obiekcie małej architektury - należy przez to rozumieć niewielkie obiekty, a w szczególności: </w:t>
      </w:r>
    </w:p>
    <w:p w14:paraId="02090B66">
      <w:pPr>
        <w:numPr>
          <w:ilvl w:val="0"/>
          <w:numId w:val="15"/>
        </w:numPr>
        <w:spacing w:before="0" w:after="5" w:line="267" w:lineRule="exact"/>
        <w:ind w:left="157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kultu religijnego, jak: kapliczki, krzyże przydrożne, figury, </w:t>
      </w:r>
    </w:p>
    <w:p w14:paraId="06DA4ACC">
      <w:pPr>
        <w:numPr>
          <w:ilvl w:val="0"/>
          <w:numId w:val="15"/>
        </w:numPr>
        <w:spacing w:before="0" w:after="5" w:line="267" w:lineRule="exact"/>
        <w:ind w:left="157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posągi, wodotryski i inne obiekty architektury ogrodowej, </w:t>
      </w:r>
    </w:p>
    <w:p w14:paraId="317E9341">
      <w:pPr>
        <w:numPr>
          <w:ilvl w:val="0"/>
          <w:numId w:val="15"/>
        </w:numPr>
        <w:spacing w:before="0" w:after="5" w:line="267" w:lineRule="exact"/>
        <w:ind w:left="157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użytkowe służące rekreacji codziennej i utrzymaniu porządku, jak: piaskownice, huśtawki, drabinki, śmietniki. </w:t>
      </w:r>
    </w:p>
    <w:p w14:paraId="5174DC41">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tymczasowym obiekcie budowlanym - należy przez to rozumieć obiekt budowlany przeznaczony do czasowego użytkowania w okresie krótszym od jego trwałości technicznej, przewidziany do przeniesienia w inne miejsce lub rozbiórki, a także obiekt budowlany nie połączony trwale z gruntem, jak: strzelnice, kioski uliczne, pawilony sprzedaży ulicznej i wystawowe, przekrycia namiotowe i powłoki pneumatyczne, urządzenia rozrywkowe, barakowozy, obiekty kontenerowe. </w:t>
      </w:r>
    </w:p>
    <w:p w14:paraId="575047BD">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budowie - należy przez to rozumieć wykonanie obiektu budowlanego w określonym miejscu, a także odbudowę, rozbudowę, nadbudowę obiektu budowlanego. </w:t>
      </w:r>
    </w:p>
    <w:p w14:paraId="07C21A11">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robotach budowlanych - należy przez to rozumieć budowę, a także prace polegające na przebudowie, montażu, remoncie lub rozbiórce obiektu budowlanego. </w:t>
      </w:r>
    </w:p>
    <w:p w14:paraId="4E8A3EF1">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remoncie - należy przez to rozumieć wykonywanie w istniejącym obiekcie budowlanym robót budowlanych polegających na odtworzeniu stanu pierwotnego, a nie stanowiących bieżącej konserwacji. </w:t>
      </w:r>
    </w:p>
    <w:p w14:paraId="01BC4DF7">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urządzeniach budowlanych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 </w:t>
      </w:r>
    </w:p>
    <w:p w14:paraId="461043F0">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terenie budowy - należy przez to rozumieć przestrzeń, w której prowadzone są roboty budowlane wraz z przestrzenią zajmowaną przez urządzenia zaplecza budowy. </w:t>
      </w:r>
    </w:p>
    <w:p w14:paraId="7C0534FF">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prawie do dysponowania nieruchomością na cele budowlane - należy przez to rozumieć tytuł prawny wynikający z prawa własności, użytkowania wieczystego, zarządu, ograniczonego prawa rzeczowego albo stosunku zobowiązaniowego, przewidującego uprawnienia do wykonywania robot budowlanych. </w:t>
      </w:r>
    </w:p>
    <w:p w14:paraId="1A792909">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pozwoleniu na budowę - należy przez to rozumieć decyzję administracyjną zezwalającą na rozpoczęcie i prowadzenie budowy lub wykonywanie robót budowlanych innych niż budowa obiektu budowlanego. </w:t>
      </w:r>
    </w:p>
    <w:p w14:paraId="389A11FE">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dokumentacji budowy -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 </w:t>
      </w:r>
    </w:p>
    <w:p w14:paraId="4E219C5B">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dokumentacji powykonawczej - należy przez to rozumieć dokumentację budowy z naniesionymi zmianami dokonanymi w toku wykonywania robót oraz geodezyjnymi pomiarami powykonawczymi. </w:t>
      </w:r>
    </w:p>
    <w:p w14:paraId="551C7396">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terenie zamkniętym - należy przez to rozumieć teren zamknięty, o którym mowa w przepisach prawa geodezyjnego i kartograficznego: obronności lub bezpieczeństwa państwa, będący w dyspozycji jednostek organizacyjnych podległych Ministrowi Obrony Narodowej, Ministrowi Spraw Wewnętrznych i Administracji oraz Ministrowi Spraw Zagranicznych, bezpośredniego wydobywania kopaliny ze złoża, będący w dyspozycji zakładu górniczego. </w:t>
      </w:r>
    </w:p>
    <w:p w14:paraId="610991BD">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aprobacie technicznej - należy przez to rozumieć pozytywną ocenę techniczną wyrobu, stwierdzającą jego przydatność do stosowania w budownictwie. </w:t>
      </w:r>
    </w:p>
    <w:p w14:paraId="6CAFE065">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właściwym organie - należy przez to rozumieć organ nadzoru architektoniczno-budowlanego lub organ specjalistycznego nadzoru budowlanego, stosownie do ich właściwości określonych w rozdziale 8. </w:t>
      </w:r>
    </w:p>
    <w:p w14:paraId="34382118">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wyrobie budowlanym -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 </w:t>
      </w:r>
    </w:p>
    <w:p w14:paraId="26933169">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organie samorządu zawodowego - należy przez to rozumieć organy określone w ustawie z dnia 15 grudnia 2000 r. o samorządach zawodowych architektów, inżynierów budownictwa oraz urbanistów (Dz. U. z 2001 r. Nr 5, poz. 42 z późn. zm.). </w:t>
      </w:r>
    </w:p>
    <w:p w14:paraId="79886255">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obszarze oddziaływania obiektu - należy przez to rozumieć teren wyznaczony w otoczeniu budowlanym na podstawie przepisów odrębnych, wprowadzających związane z tym obiektem ograniczenia w zagospodarowaniu tego terenu. </w:t>
      </w:r>
    </w:p>
    <w:p w14:paraId="3D6DB6D6">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opłacie - należy przez to rozumieć kwotę należności wnoszoną przez zobowiązanego za określone ustawą obowiązkowe kontrole dokonywane przez właściwy organ. </w:t>
      </w:r>
    </w:p>
    <w:p w14:paraId="0A290583">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drodze tymczasowej (montażowej) - należy przez to rozumieć drogę specjalnie przygotowaną, przeznaczoną do ruchu pojazdów obsługujących roboty budowlane na czas ich wykonywania, przewidzianą do usunięcia po ich zakończeniu. </w:t>
      </w:r>
    </w:p>
    <w:p w14:paraId="09BE25E5">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dzienniku budowy - należy przez to rozumieć dziennik wydany przez właściwy organ zgodnie z obowiązującymi przepisami, stanowiący urzędowy dokument przebiegu robot budowlanych oraz zdarzeń i okoliczności zachodzących w czasie wykonywania robót. </w:t>
      </w:r>
    </w:p>
    <w:p w14:paraId="53A52F74">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kierowniku budowy - osoba wyznaczona przez Wykonawcę robot, upoważniona do kierowania robotami i do występowania w jego imieniu w sprawach realizacji kontraktu, ponosząca ustawową odpowiedzialność za prowadzoną budowę. </w:t>
      </w:r>
    </w:p>
    <w:p w14:paraId="309F6DEC">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rejestrze obmiarów - należy przez to rozumieć - akceptowaną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 </w:t>
      </w:r>
    </w:p>
    <w:p w14:paraId="63383385">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laboratorium - należy przez to rozumieć laboratorium jednostki naukowej, zamawiającego, wykonawcy lub inne laboratorium badawcze zaakceptowane przez Zamawiającego, niezbędne do przeprowadzania niezbędnych badań i prób związanych z oceną jakości stosowanych wyrobów budowlanych oraz rodzajów prowadzonych robót. </w:t>
      </w:r>
    </w:p>
    <w:p w14:paraId="3ECFB44A">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materiałach - należy przez to rozumieć wszelkie materiały naturalne i wytwarzane jak również rożne tworzywa i wyroby niezbędne do wykonania robot, zgodnie z dokumentacją projektową i specyfikacjami technicznymi zaakceptowane przez Inspektora nadzoru. </w:t>
      </w:r>
    </w:p>
    <w:p w14:paraId="69C197E8">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odpowiedniej zgodności - należy przez to rozumieć zgodność wykonanych robót dopuszczalnymi tolerancjami, a jeśli granice tolerancji nie zostały określone - z przeciętnymi tolerancjami przyjmowanymi zwyczajowo dla danego rodzaju robót budowlanych. </w:t>
      </w:r>
    </w:p>
    <w:p w14:paraId="3630823E">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poleceniu Inspektora nadzoru - należy przez to rozumieć wszelkie polecenia przekazane Wykonawcy przez Inspektora nadzoru w formie pisemnej dotyczące sposobu realizacji robót lub innych spraw związanych z prowadzeniem budowy. </w:t>
      </w:r>
    </w:p>
    <w:p w14:paraId="08A388FF">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projektancie - należy przez to rozumieć uprawnioną osobę prawną lub fizyczną będącą autorem dokumentacji projektowej. </w:t>
      </w:r>
    </w:p>
    <w:p w14:paraId="6822AB15">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rekultywacji - należy przez to rozumieć roboty mające na celu uporządkowanie i przywrócenie pierwotnych funkcji terenu naruszonego w czasie realizacji budowy lub robót budowlanych. </w:t>
      </w:r>
    </w:p>
    <w:p w14:paraId="4AF7B649">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części obiektu lub etapie wykonania - należy przez to rozumieć część obiektu budowlanego zdolną do spełniania przewidywanych funkcji techniczno-użytkowych i możliwą do odebrania i przekazania do eksploatacji. </w:t>
      </w:r>
    </w:p>
    <w:p w14:paraId="289E8D1D">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ustaleniach technicznych - należy przez to rozumieć ustalenia podane w normach, aprobatach technicznych i szczegółowych specyfikacjach technicznych. </w:t>
      </w:r>
    </w:p>
    <w:p w14:paraId="3933FE7E">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grupach, klasach, kategoriach robót - należy przez to rozumieć grupy, klasy, kategorie określone w rozporządzeniu nr 2195/2002 z dnia 5 listopada 2002 r. w sprawie Wspólnego Słownika Zamówień (Dz. Urz. L 340 z 16.12.2002 r., z późn. zm.). </w:t>
      </w:r>
    </w:p>
    <w:p w14:paraId="20916171">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inspektorze nadzoru inwestorskiego - osoba posiadająca odpowiednie wykształcenie techniczne i praktykę zawodową oraz uprawnienia budowlane, wykonująca samodzielne funkcje techniczne w budownictwie, której inwestor powierza nadzór nad budową obiektu budowlanego. Reprezentuje on interesy inwestora na budowie i wykonuje bieżącą kontrolę jakości i ilości wykonanych robót, bierze udział w sprawdzianach i odbiorach robót zakrywanych i zanikających, badaniu i odbiorze instalacji oraz urządzeń technicznych, jak również przy odbiorze gotowego obiektu. </w:t>
      </w:r>
    </w:p>
    <w:p w14:paraId="32DB0781">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instrukcji technicznej obsługi (eksploatacji) -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 </w:t>
      </w:r>
    </w:p>
    <w:p w14:paraId="28EB4A51">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istotnych wymaganiach - oznaczają wymagania dotyczące bezpieczeństwa, zdrowia i pewnych innych aspektów interesu wspólnego, jakie maja spełniać roboty budowlane. </w:t>
      </w:r>
    </w:p>
    <w:p w14:paraId="78A328C1">
      <w:pPr>
        <w:numPr>
          <w:ilvl w:val="0"/>
          <w:numId w:val="15"/>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normach europejskich - oznaczają normy przyjęte przez Europejski Komitet Standaryzacji (CEN) oraz </w:t>
      </w:r>
    </w:p>
    <w:p w14:paraId="53E61C29">
      <w:pPr>
        <w:spacing w:before="0" w:after="5" w:line="267" w:lineRule="exact"/>
        <w:ind w:left="865"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Europejski Komitet Standaryzacji elektrotechnicznej (CENELEC) jako „standardy europejskie (EN)” lub „dokumenty harmonizacyjne (HD)”, zgodnie z ogólnymi zasadami działania tych organizacji. </w:t>
      </w:r>
    </w:p>
    <w:p w14:paraId="6CFE0AE8">
      <w:pPr>
        <w:numPr>
          <w:ilvl w:val="0"/>
          <w:numId w:val="16"/>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przedmiarze robót - to zestawienie przewidzianych do wykonania robot podstawowych w kolejności technologicznej ich wykonania, ze szczegółowym opisem lub wskazaniem podstaw ustalających szczegółowy opis, oraz wskazanie szczegółowych specyfikacji technicznych wykonania i odbioru robót budowlanych, z wyliczeniem i zestawieniem ilości jednostek przedmiarowych robot podstawowych. </w:t>
      </w:r>
    </w:p>
    <w:p w14:paraId="45A8B8CF">
      <w:pPr>
        <w:numPr>
          <w:ilvl w:val="0"/>
          <w:numId w:val="16"/>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robocie podstawowej - minimalny zakres prac, które po wykonaniu są możliwe do odebrania pod względem ilości i wymogów jakościowych oraz uwzględniają przyjęty stopień scalenia robót. </w:t>
      </w:r>
    </w:p>
    <w:p w14:paraId="5283CF52">
      <w:pPr>
        <w:numPr>
          <w:ilvl w:val="0"/>
          <w:numId w:val="16"/>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Wspólnym Słowniku Zamówień - jest systemem klasyfikacji produktów, usług i robót budowlanych, stworzonych na potrzeby zamówień publicznych. Składa się ze słownika głównego oraz słownika uzupełniającego. Obowiązuje we wszystkich krajach Unii Europejskiej. Zgodnie z postanowieniami rozporządzenia 2151/2003, stosowanie kodów CPV do określania przedmiotu zamówienia przez zamawiających z ówczesnych Państw Członkowskich UE stało się obowiązkowe z dniem 20 grudnia 2003 </w:t>
      </w:r>
    </w:p>
    <w:p w14:paraId="4B33893F">
      <w:pPr>
        <w:numPr>
          <w:ilvl w:val="0"/>
          <w:numId w:val="16"/>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Polskie Prawo zamówień publicznych przewidziało obowiązek stosowania klasyfikacji CPV począwszy od dnia akcesji Polski do UE, tzn. od 1 maja 2004 r. </w:t>
      </w:r>
    </w:p>
    <w:p w14:paraId="11C5E93C">
      <w:pPr>
        <w:numPr>
          <w:ilvl w:val="0"/>
          <w:numId w:val="16"/>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Zarządzającym realizacją umowy - jest to osoba prawna lub fizyczna określona w istotnych postanowieniach umowy, zwana dalej zarządzającym, wyznaczona przez zamawiającego, upoważniona do nadzorowania realizacji robot i administrowania umową w zakresie określonym w udzielonym pełnomocnictwie (zarządzający realizacją nie jest obecnie prawnie określony w przepisach). </w:t>
      </w:r>
    </w:p>
    <w:p w14:paraId="49053CF9">
      <w:pPr>
        <w:spacing w:before="0" w:after="1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22CB769">
      <w:pPr>
        <w:keepNext/>
        <w:keepLines/>
        <w:tabs>
          <w:tab w:val="center" w:pos="660"/>
          <w:tab w:val="center" w:pos="3340"/>
        </w:tabs>
        <w:spacing w:before="0" w:after="5" w:line="252" w:lineRule="exact"/>
        <w:ind w:left="0" w:right="0" w:firstLine="0"/>
        <w:jc w:val="left"/>
        <w:rPr>
          <w:rFonts w:ascii="Arial" w:hAnsi="Arial" w:eastAsia="Arial" w:cs="Arial"/>
          <w:b/>
          <w:color w:val="000000"/>
          <w:spacing w:val="0"/>
          <w:sz w:val="28"/>
          <w:highlight w:val="white"/>
        </w:rPr>
      </w:pPr>
      <w:r>
        <w:rPr>
          <w:rFonts w:ascii="Calibri" w:hAnsi="Calibri" w:eastAsia="Calibri" w:cs="Calibri"/>
          <w:color w:val="000000"/>
          <w:spacing w:val="0"/>
          <w:sz w:val="22"/>
          <w:shd w:val="clear" w:fill="FFFFFF"/>
        </w:rPr>
        <w:tab/>
      </w:r>
      <w:r>
        <w:rPr>
          <w:rFonts w:ascii="Arial" w:hAnsi="Arial" w:eastAsia="Arial" w:cs="Arial"/>
          <w:b/>
          <w:color w:val="000000"/>
          <w:spacing w:val="0"/>
          <w:sz w:val="20"/>
          <w:shd w:val="clear" w:fill="FFFFFF"/>
        </w:rPr>
        <w:t xml:space="preserve">1.5. </w:t>
      </w:r>
      <w:r>
        <w:rPr>
          <w:rFonts w:ascii="Arial" w:hAnsi="Arial" w:eastAsia="Arial" w:cs="Arial"/>
          <w:b/>
          <w:color w:val="000000"/>
          <w:spacing w:val="0"/>
          <w:sz w:val="20"/>
          <w:shd w:val="clear" w:fill="FFFFFF"/>
        </w:rPr>
        <w:tab/>
      </w:r>
      <w:r>
        <w:rPr>
          <w:rFonts w:ascii="Arial" w:hAnsi="Arial" w:eastAsia="Arial" w:cs="Arial"/>
          <w:b/>
          <w:color w:val="000000"/>
          <w:spacing w:val="0"/>
          <w:sz w:val="20"/>
          <w:shd w:val="clear" w:fill="FFFFFF"/>
        </w:rPr>
        <w:t xml:space="preserve">OGÓLNE WYMAGANIA DOTYCZĄCE ROBÓT </w:t>
      </w:r>
    </w:p>
    <w:p w14:paraId="4811ACB4">
      <w:pPr>
        <w:spacing w:before="0" w:after="14"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60B7F279">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robot jest odpowiedzialny za jakość ich wykonania oraz za ich zgodność z dokumentacją projektową, SST i poleceniami Inspektora nadzoru. </w:t>
      </w:r>
    </w:p>
    <w:p w14:paraId="2C6F7345">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1B495EA">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1.5.1 Przekazanie placu budowy </w:t>
      </w:r>
    </w:p>
    <w:p w14:paraId="57F7B1FD">
      <w:pPr>
        <w:spacing w:before="0" w:after="15"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66AE0FA7">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Zamawiający, w terminie określonym w dokumentach umowy przekaże Wykonawcy teren budowy wraz ze wszystkimi wymaganymi uzgodnieniami prawnymi i administracyjnymi, poda lokalizację i współrzędne punktów głównych obiektu oraz reperów, przekaże dziennik budowy oraz dwa egzemplarze dokumentacji projektowej i dwa komplety ST. Na Wykonawcy spoczywa odpowiedzialność za ochronę przekazanych mu punktów pomiarowych do chwili odbioru końcowego robót. Uszkodzone lub zniszczone punkty pomiarowe Wykonawca odtworzy i utrwali na własny koszt. </w:t>
      </w:r>
    </w:p>
    <w:p w14:paraId="4ACC1B87">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F5BB3F5">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1.5.2 Dokumentacja projektowa </w:t>
      </w:r>
    </w:p>
    <w:p w14:paraId="3AD35448">
      <w:pPr>
        <w:spacing w:before="0" w:after="5"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8352B8B">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Przekazana dokumentacja projektowa ma zawierać opis, część graficzną, obliczenia i dokumenty, zgodne z wykazem podanym w szczegółowych warunkach umowy, uwzględniającym podział na dokumentację projektową: </w:t>
      </w:r>
    </w:p>
    <w:p w14:paraId="20023BE8">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-dostarczoną przez Zamawiającego, </w:t>
      </w:r>
    </w:p>
    <w:p w14:paraId="2E82E170">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-sporządzoną przez Wykonawcę. </w:t>
      </w:r>
    </w:p>
    <w:p w14:paraId="56BCDF5C">
      <w:pPr>
        <w:spacing w:before="0" w:after="16"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FB8A88B">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1.5.3. Zgodność robót z dokumentacją projektową i ST </w:t>
      </w:r>
    </w:p>
    <w:p w14:paraId="67AB6D0B">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CF5F3F3">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Dokumentacja projektowa, SST oraz dodatkowe dokumenty przekazane Wykonawcy przez Inspektora nadzoru stanowią załączniki do umowy, a wymagania wyszczególnione w choćby jednym z nich są obowiązujące dla Wykonawcy tak, jakby zawarte były w całej dokumentacji. W przypadku rozbieżności w ustaleniach poszczególnych dokumentów obowiązuje kolejność ich ważności wymieniona w „Ogólnych warunkach umowy”. Wykonawca nie może wykorzystywać błędów lub opuszczeń w dokumentach kontraktowych, a o ich wykryciu winien natychmiast powiadomić Inspektora nadzoru, który dokona odpowiednich zmian i poprawek. W przypadku stwierdzenia ewentualnych rozbieżności podane na rysunku wielkości liczbowe wymiarów są ważniejsze od odczytu ze skali rysunków. Wszystkie wykonane roboty i dostarczone materiały mają być zgodne z dokumentacją projektową i SST. Wielkości określone w dokumentacji projektowej i w 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 W przypadku, gdy dostarczane materiały lub wykonane roboty nie będą zgodne z dokumentacją projektową lub ST i mają wpływ na niezadowalającą jakość elementu budowli, to takie materiały zostaną zastąpione innymi, a elementy budowli rozebrane i wykonane ponownie na koszt wykonawcy. </w:t>
      </w:r>
    </w:p>
    <w:p w14:paraId="0EE220BA">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6D019E87">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1.5.4. Zabezpieczenie terenu budowy </w:t>
      </w:r>
    </w:p>
    <w:p w14:paraId="2FB01E17">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511F4E4">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jest zobowiązany do zabezpieczenia terenu budowy w okresie trwania realizacji kontraktu aż do zakończenia i odbioru ostatecznego robót. Wykonawca dostarczy, zainstaluje i będzie utrzymywać tymczasowe urządzenia zabezpieczające, w tym: ogrodzenia, poręcze, zadaszenia nad wejściami, oświetlenie, sygnały i znaki ostrzegawcze, dozorców, wszelkie inne środki niezbędne do ochrony robót, wygody społeczności i innych. Koszt zabezpieczenia terenu budowy nie podlega odrębnej zapłacie i przyjmuje się, że jest włączony w cenę umowną. </w:t>
      </w:r>
    </w:p>
    <w:p w14:paraId="31455E6D">
      <w:pPr>
        <w:spacing w:before="0" w:after="5" w:line="267" w:lineRule="exact"/>
        <w:ind w:left="480" w:right="10" w:firstLine="360"/>
        <w:jc w:val="both"/>
      </w:pPr>
      <w:r>
        <w:rPr>
          <w:rFonts w:ascii="Arial" w:hAnsi="Arial" w:eastAsia="Arial" w:cs="Arial"/>
          <w:color w:val="000000"/>
          <w:spacing w:val="0"/>
          <w:sz w:val="20"/>
          <w:shd w:val="clear" w:fill="FFFFFF"/>
        </w:rPr>
        <w:t xml:space="preserve">Podczas prowadzenia prac budowlanych zabezpieczyć terenu budowy przed niekontrolowanym wtargnięciem osób postronnych korzystających z budynków szkolnych.  </w:t>
      </w:r>
    </w:p>
    <w:p w14:paraId="66A997E9">
      <w:pPr>
        <w:spacing w:before="0" w:after="17"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7731922">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1.5.5. Ochrona środowiska w czasie wykonywania robót </w:t>
      </w:r>
    </w:p>
    <w:p w14:paraId="31F8F508">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AEEAD82">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ma obowiązek znać i stosować w czasie prowadzenia robot wszelkie przepisy dotyczące ochrony środowiska naturalnego. W okresie trwania budowy i wykonywania robót wykończeniowych Wykonawca będzie: </w:t>
      </w:r>
    </w:p>
    <w:p w14:paraId="2B36C18B">
      <w:pPr>
        <w:numPr>
          <w:ilvl w:val="0"/>
          <w:numId w:val="17"/>
        </w:numPr>
        <w:spacing w:before="0" w:after="5" w:line="267" w:lineRule="exact"/>
        <w:ind w:left="712" w:right="10" w:hanging="232"/>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utrzymywać teren budowy i wykopy w stanie bez wody stojącej, </w:t>
      </w:r>
    </w:p>
    <w:p w14:paraId="7F414844">
      <w:pPr>
        <w:numPr>
          <w:ilvl w:val="0"/>
          <w:numId w:val="17"/>
        </w:numPr>
        <w:spacing w:before="0" w:after="5" w:line="267" w:lineRule="exact"/>
        <w:ind w:left="712" w:right="10" w:hanging="232"/>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 </w:t>
      </w:r>
    </w:p>
    <w:p w14:paraId="08F0FC1F">
      <w:pPr>
        <w:spacing w:before="0" w:after="16"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1745716">
      <w:pPr>
        <w:spacing w:before="0" w:after="5" w:line="266" w:lineRule="exact"/>
        <w:ind w:left="490" w:right="2121" w:hanging="1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Stosując się do tych wymagań, Wykonawca będzie miał szczególny wzgląd na: 1) lokalizację baz, warsztatów, magazynów, składowisk, ukopów i dróg dojazdowych, 2) środki ostrożności i zabezpieczenia przed: </w:t>
      </w:r>
    </w:p>
    <w:p w14:paraId="35687750">
      <w:pPr>
        <w:numPr>
          <w:ilvl w:val="0"/>
          <w:numId w:val="18"/>
        </w:numPr>
        <w:spacing w:before="0" w:after="5" w:line="267" w:lineRule="exact"/>
        <w:ind w:left="715" w:right="10" w:hanging="235"/>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zanieczyszczeniem zbiorników i cieków wodnych pyłami lub substancjami toksycznymi, </w:t>
      </w:r>
    </w:p>
    <w:p w14:paraId="708D26D8">
      <w:pPr>
        <w:numPr>
          <w:ilvl w:val="0"/>
          <w:numId w:val="18"/>
        </w:numPr>
        <w:spacing w:before="0" w:after="5" w:line="267" w:lineRule="exact"/>
        <w:ind w:left="715" w:right="10" w:hanging="235"/>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zanieczyszczeniem powietrza pyłami i gazami, </w:t>
      </w:r>
    </w:p>
    <w:p w14:paraId="2CD3B6AE">
      <w:pPr>
        <w:numPr>
          <w:ilvl w:val="0"/>
          <w:numId w:val="18"/>
        </w:numPr>
        <w:spacing w:before="0" w:after="5" w:line="267" w:lineRule="exact"/>
        <w:ind w:left="715" w:right="10" w:hanging="235"/>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możliwością powstania pożaru. </w:t>
      </w:r>
    </w:p>
    <w:p w14:paraId="411BEFAE">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67AEC023">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1.5.6. Ochrona przeciwpożarowa </w:t>
      </w:r>
    </w:p>
    <w:p w14:paraId="33ADF069">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69ABDBC2">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będzie przestrzegać przepisy ochrony przeciwpożarowej. Wykonawca będzie utrzymywać sprawny sprzęt przeciwpożarowy, wymagany odpowiednimi przepisami, na terenie baz produkcyjnych, w pomieszczeniach biurowych, mieszkalnych i magazynowych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 </w:t>
      </w:r>
    </w:p>
    <w:p w14:paraId="3E0B3BC4">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333C57D">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1.5.7. Ochrona własności publicznej i prywatnej </w:t>
      </w:r>
    </w:p>
    <w:p w14:paraId="499EB617">
      <w:pPr>
        <w:spacing w:before="0" w:after="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9E6A1B4">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odpowiada za ochronę instalacji i urządzeń zlokalizowanych na powierzchni terenu i pod jego poziomem, takie jak rurociągi, kable itp. Wykonawca zapewni właściwe oznaczenie i zabezpieczenie przed uszkodzeniem tych instalacji i urządzeń w czasie trwania budowy. O fakcie przypadkowego uszkodzenia tych Instalacji Wykonawca bezzwłocznie powiadomi Inspektora nadzoru i zainteresowanych użytkowników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14:paraId="69ADE9DF">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1.5.8. Ograniczenie obciążeń osi pojazdów </w:t>
      </w:r>
    </w:p>
    <w:p w14:paraId="391C33DF">
      <w:pPr>
        <w:spacing w:before="0" w:after="16"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01B58AA">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stosować się będzie do ustawowych ograniczeń obciążenia na oś przy transporcie gruntu,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 </w:t>
      </w:r>
    </w:p>
    <w:p w14:paraId="28C07933">
      <w:pPr>
        <w:spacing w:before="0" w:after="1"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B94640E">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1.5.9. Bezpieczeństwo i higiena pracy </w:t>
      </w:r>
    </w:p>
    <w:p w14:paraId="7185A627">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FA82317">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Podczas realizacji robot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t>
      </w:r>
    </w:p>
    <w:p w14:paraId="5B754A6C">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zapewni i będzie utrzymywał wszelkie urządzenia zabezpieczające, socjalne oraz sprzęt i odpowiednią odzież dla ochrony życia i zdrowia osób zatrudnionych na budowie. Uznaje się, że wszelkie koszty związane z wypełnieniem wymagań określonych powyżej nie podlegają odrębnej zapłacie i są uwzględnione w cenie umownej. </w:t>
      </w:r>
    </w:p>
    <w:p w14:paraId="4AB3BA6E">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6F4EE932">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1.5.10. Ochrona i utrzymanie robót </w:t>
      </w:r>
    </w:p>
    <w:p w14:paraId="6E061962">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08C228A">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będzie odpowiedzialny za ochronę robót i za wszelkie materiały i urządzenia używane do robót od daty rozpoczęcia do daty odbioru ostatecznego. </w:t>
      </w:r>
    </w:p>
    <w:p w14:paraId="7855571D">
      <w:pPr>
        <w:spacing w:before="0" w:after="15"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89118AA">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1.5.11 Stosowanie się do prawa i innych przepisów </w:t>
      </w:r>
    </w:p>
    <w:p w14:paraId="593D2222">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64EE90A">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Np. rozporządzenie Ministra Infrastruktury z dnia 6 lutego 2003 r. w sprawie bezpieczeństwa i higieny pracy podczas wykonywania robot budowlanych (Dz. U. z dn. 19.03.2003 r. Nr 47, poz. 401) oraz Ministra Pracy i Polityki Socjalnej z dnia 26 września 1997 r. w sprawie ogólnych przepisów bezpieczeństwa i higieny pracy (Dz. U. Nr 169 poz. 1650). 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w:t>
      </w:r>
    </w:p>
    <w:p w14:paraId="2D64A9D1">
      <w:pPr>
        <w:spacing w:before="0" w:after="12"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FBB3726">
      <w:pPr>
        <w:keepNext/>
        <w:keepLines/>
        <w:spacing w:before="0" w:after="5" w:line="252" w:lineRule="exact"/>
        <w:ind w:left="490" w:right="0" w:hanging="10"/>
        <w:jc w:val="both"/>
        <w:rPr>
          <w:rFonts w:ascii="Arial" w:hAnsi="Arial" w:eastAsia="Arial" w:cs="Arial"/>
          <w:b/>
          <w:color w:val="000000"/>
          <w:spacing w:val="0"/>
          <w:sz w:val="20"/>
          <w:highlight w:val="white"/>
        </w:rPr>
      </w:pPr>
      <w:r>
        <w:rPr>
          <w:rFonts w:ascii="Arial" w:hAnsi="Arial" w:eastAsia="Arial" w:cs="Arial"/>
          <w:b/>
          <w:color w:val="000000"/>
          <w:spacing w:val="0"/>
          <w:sz w:val="20"/>
          <w:shd w:val="clear" w:fill="FFFFFF"/>
        </w:rPr>
        <w:t xml:space="preserve">2. STB 00.02 MATERIAŁY </w:t>
      </w:r>
    </w:p>
    <w:p w14:paraId="3C3EF77B">
      <w:pPr>
        <w:spacing w:before="0" w:after="17"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2AC9F4D">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Wszystkie wskazane w dokumentacji projektowej nazwy producentów i nazwy handlowe materiałów służą do określenia minimalnych parametrów technicznych i użytkowych wyrobów budowlanych. Zamawiający nie  wymaga od Oferentów stosowania wymienionych wyrobów i dopuszcza stosowanie wyrobów równoważnych, jednakże wskazane wyroby budowlane określają minimalne wymagania, co do parametrów technicznych i walorów użytkowych. </w:t>
      </w:r>
    </w:p>
    <w:p w14:paraId="6484EFA6">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8CE2F15">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jest odpowiedzialny za to, aby użyte wyroby budowlane posiadały: </w:t>
      </w:r>
    </w:p>
    <w:p w14:paraId="543FCDA4">
      <w:pPr>
        <w:spacing w:before="0" w:after="13"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2CD50C9">
      <w:pPr>
        <w:numPr>
          <w:ilvl w:val="0"/>
          <w:numId w:val="19"/>
        </w:numPr>
        <w:spacing w:before="0" w:after="5" w:line="267" w:lineRule="exact"/>
        <w:ind w:left="193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Certyfikat na znak bezpieczeństwa, </w:t>
      </w:r>
    </w:p>
    <w:p w14:paraId="455B8E2C">
      <w:pPr>
        <w:numPr>
          <w:ilvl w:val="0"/>
          <w:numId w:val="19"/>
        </w:numPr>
        <w:spacing w:before="0" w:after="5" w:line="267" w:lineRule="exact"/>
        <w:ind w:left="193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Oznaczenie CE </w:t>
      </w:r>
    </w:p>
    <w:p w14:paraId="05D6EAEA">
      <w:pPr>
        <w:numPr>
          <w:ilvl w:val="0"/>
          <w:numId w:val="19"/>
        </w:numPr>
        <w:spacing w:before="0" w:after="5" w:line="267" w:lineRule="exact"/>
        <w:ind w:left="193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Oznaczenie wyrób budowlany „B” </w:t>
      </w:r>
    </w:p>
    <w:p w14:paraId="269430BA">
      <w:pPr>
        <w:numPr>
          <w:ilvl w:val="0"/>
          <w:numId w:val="19"/>
        </w:numPr>
        <w:spacing w:before="0" w:after="5" w:line="267" w:lineRule="exact"/>
        <w:ind w:left="193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Deklarację zgodności z Polską Normą lub aprobatą techniczną, </w:t>
      </w:r>
    </w:p>
    <w:p w14:paraId="19A81F27">
      <w:pPr>
        <w:numPr>
          <w:ilvl w:val="0"/>
          <w:numId w:val="19"/>
        </w:numPr>
        <w:spacing w:before="0" w:after="5" w:line="267" w:lineRule="exact"/>
        <w:ind w:left="193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Inne prawnie określone dokumenty. </w:t>
      </w:r>
    </w:p>
    <w:p w14:paraId="72B09DDB">
      <w:pPr>
        <w:numPr>
          <w:ilvl w:val="0"/>
          <w:numId w:val="19"/>
        </w:numPr>
        <w:spacing w:before="0" w:after="5" w:line="267" w:lineRule="exact"/>
        <w:ind w:left="193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Powinny posiadać właściwości i parametry techniczne na poziomie, co najmniej równoważnym jak określone w specyfikacji i dokumentacji technicznej. </w:t>
      </w:r>
    </w:p>
    <w:p w14:paraId="1EA12676">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8F1DDBF">
      <w:pPr>
        <w:numPr>
          <w:ilvl w:val="0"/>
          <w:numId w:val="20"/>
        </w:numPr>
        <w:spacing w:before="0" w:after="5" w:line="267" w:lineRule="exact"/>
        <w:ind w:left="869" w:right="10" w:hanging="389"/>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Źródła uzyskania materiałów do elementów konstrukcyjnych </w:t>
      </w:r>
    </w:p>
    <w:p w14:paraId="15AAE45A">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4682864">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przedstawi Inspektorowi nadzoru szczegółowe informacje dotyczące, zamawiania lub wydobywania materiałów i odpowiednie aprobaty techniczne lub świadectwa badań laboratoryjnych oraz próbki do zatwierdzenia przez Inspektora nadzoru. Wykonawca zobowiązany jest do prowadzenia ciągłych badań określonych w SST w celu udokumentowania, że materiały uzyskane z dopuszczalnego źródła spełniają wymagania SST w czasie postępu robót. Pozostałe materiały budowlane powinny spełniać wymagania jakościowe określone Polskimi Normami, aprobatami technicznymi, o których mowa w Szczegółowych Specyfikacjach Technicznych (SST). </w:t>
      </w:r>
    </w:p>
    <w:p w14:paraId="37C35AAA">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6C972BE">
      <w:pPr>
        <w:numPr>
          <w:ilvl w:val="0"/>
          <w:numId w:val="21"/>
        </w:numPr>
        <w:spacing w:before="0" w:after="5" w:line="267" w:lineRule="exact"/>
        <w:ind w:left="813" w:right="10" w:hanging="333"/>
        <w:jc w:val="both"/>
      </w:pPr>
      <w:r>
        <w:rPr>
          <w:rFonts w:ascii="Arial" w:hAnsi="Arial" w:eastAsia="Arial" w:cs="Arial"/>
          <w:color w:val="000000"/>
          <w:spacing w:val="0"/>
          <w:sz w:val="20"/>
          <w:shd w:val="clear" w:fill="FFFFFF"/>
        </w:rPr>
        <w:t xml:space="preserve">Materiały nie odpowiadające wymaganiom jakościowym </w:t>
      </w:r>
    </w:p>
    <w:p w14:paraId="66461889">
      <w:pPr>
        <w:spacing w:before="0" w:after="19"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566E792">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Materiały nie odpowiadające wymaganiom jakościowym zostaną przez Wykonawcę wywiezione z terenu budowy, bądź złożone w miejscu wskazanym przez Inspektora nadzoru. Każdy rodzaj robót, w którym znajdują się nie zbadane i nie zaakceptowane materiały. Wykonawca wykonuje na własne ryzyko, licząc się z jego nieprzyjęciem i niezapłaceniem. </w:t>
      </w:r>
    </w:p>
    <w:p w14:paraId="7AA0CDC1">
      <w:pPr>
        <w:spacing w:before="0" w:after="15"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0EA4342">
      <w:pPr>
        <w:numPr>
          <w:ilvl w:val="0"/>
          <w:numId w:val="22"/>
        </w:numPr>
        <w:spacing w:before="0" w:after="5" w:line="267" w:lineRule="exact"/>
        <w:ind w:left="813" w:right="10" w:hanging="33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Przechowywanie i składowanie materiałów </w:t>
      </w:r>
    </w:p>
    <w:p w14:paraId="7B0D3960">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72AD812">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zapewni, aby tymczasowo składowane materiały, do czasu gdy będą one potrzebne do robot, były zabezpieczone przed zanieczyszczeniem, zachowały swoją jakość i właściwość do robót i były dostępne do kontroli przez Inspektora nadzoru. Miejsca czasowego składowania materiałów będą zlokalizowane w obrębie terenu budowy w miejscach uzgodnionych z Inspektorem nadzoru. </w:t>
      </w:r>
    </w:p>
    <w:p w14:paraId="2EA084D5">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877C35E">
      <w:pPr>
        <w:keepNext/>
        <w:keepLines/>
        <w:spacing w:before="0" w:after="5" w:line="252" w:lineRule="exact"/>
        <w:ind w:left="490" w:right="0" w:hanging="10"/>
        <w:jc w:val="both"/>
        <w:rPr>
          <w:rFonts w:ascii="Arial" w:hAnsi="Arial" w:eastAsia="Arial" w:cs="Arial"/>
          <w:b/>
          <w:color w:val="000000"/>
          <w:spacing w:val="0"/>
          <w:sz w:val="20"/>
          <w:highlight w:val="white"/>
        </w:rPr>
      </w:pPr>
      <w:r>
        <w:rPr>
          <w:rFonts w:ascii="Arial" w:hAnsi="Arial" w:eastAsia="Arial" w:cs="Arial"/>
          <w:b/>
          <w:color w:val="000000"/>
          <w:spacing w:val="0"/>
          <w:sz w:val="20"/>
          <w:shd w:val="clear" w:fill="FFFFFF"/>
        </w:rPr>
        <w:t xml:space="preserve">3. STB 00.03 SPRZĘT </w:t>
      </w:r>
    </w:p>
    <w:p w14:paraId="53FFFCF6">
      <w:pPr>
        <w:spacing w:before="0" w:after="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AF27163">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lub projekcie organizacji robót, zaakceptowanym przez Inspektora nadzoru. Liczba i wydajność sprzętu będzie gwarantować przeprowadzenie robót, zgodnie z zasadami określonymi w dokumentacji projektowej, SST i wskazaniach Inspektora nadzoru w terminie przewidzianym umową. Sprzęt będący własnością Wykonawcy lub wynajęty do wykonania robót ma być utrzymywany w dobrym stanie i gotowości do pracy. Będzie spełniał normy ochrony środowiska i przepisy dotyczące jego użytkowania. Wykonawca dostarczy Inspektorowi nadzoru kopie dokumentów potwierdzających dopuszczenie sprzętu do użytkowania, tam gdzie jest to wymagane przepisami. Jeżeli dokumentacja projektowa lub SST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 </w:t>
      </w:r>
    </w:p>
    <w:p w14:paraId="77D9F535">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4D0606A">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Uwaga! Zgodnie z Rozporządzeniem Min. Infrastruktury z dnia 2 września 2004r. w sprawie szczegółowego zakresu i formy dokumentacji projektowej , specyfikacji technicznych wykonania i odbioru robót budowlanych oraz programu funkcjonalnego – Rozdział 2 §6 punkt 1 oraz §9 punkt 2 w przedmiarze robót nie uwzględnia się robót tymczasowych. Wykonawca koszt wszelkich robót tymczasowych np. montaż, demontaż i pracę rusztowań i pomostów roboczych winien wliczyć bezpośrednio w ceny jednostkowe wycenianych pozycji lub ująć w kosztach pośrednich. </w:t>
      </w:r>
    </w:p>
    <w:p w14:paraId="29D4D906">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7A4FF0F">
      <w:pPr>
        <w:keepNext/>
        <w:keepLines/>
        <w:spacing w:before="0" w:after="5" w:line="252" w:lineRule="exact"/>
        <w:ind w:left="490" w:right="0" w:hanging="10"/>
        <w:jc w:val="both"/>
        <w:rPr>
          <w:rFonts w:ascii="Arial" w:hAnsi="Arial" w:eastAsia="Arial" w:cs="Arial"/>
          <w:b/>
          <w:color w:val="000000"/>
          <w:spacing w:val="0"/>
          <w:sz w:val="20"/>
          <w:highlight w:val="white"/>
        </w:rPr>
      </w:pPr>
      <w:r>
        <w:rPr>
          <w:rFonts w:ascii="Arial" w:hAnsi="Arial" w:eastAsia="Arial" w:cs="Arial"/>
          <w:b/>
          <w:color w:val="000000"/>
          <w:spacing w:val="0"/>
          <w:sz w:val="20"/>
          <w:shd w:val="clear" w:fill="FFFFFF"/>
        </w:rPr>
        <w:t xml:space="preserve">4. STB 00.04 TRANSPORT </w:t>
      </w:r>
    </w:p>
    <w:p w14:paraId="68BF5CFD">
      <w:pPr>
        <w:spacing w:before="0" w:after="14"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33ABCB8">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4.1. Ogólne wymagania dotyczące transportu </w:t>
      </w:r>
    </w:p>
    <w:p w14:paraId="06508294">
      <w:pPr>
        <w:spacing w:before="0" w:after="11"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74A944C">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dokumentacji projektowej, SST i wskazaniach Inspektora nadzoru w terminie przewidzianym w umowie. </w:t>
      </w:r>
    </w:p>
    <w:p w14:paraId="19A6A7FE">
      <w:pPr>
        <w:spacing w:before="0" w:after="0" w:line="259" w:lineRule="exact"/>
        <w:ind w:left="495" w:right="0" w:firstLine="0"/>
        <w:jc w:val="left"/>
      </w:pPr>
      <w:r>
        <w:rPr>
          <w:rFonts w:ascii="Arial" w:hAnsi="Arial" w:eastAsia="Arial" w:cs="Arial"/>
          <w:color w:val="000000"/>
          <w:spacing w:val="0"/>
          <w:sz w:val="20"/>
          <w:shd w:val="clear" w:fill="FFFFFF"/>
        </w:rPr>
        <w:t xml:space="preserve"> </w:t>
      </w:r>
    </w:p>
    <w:p w14:paraId="4B40A45D">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4.2. Wymagania dotyczące przewozu po drogach publicznych </w:t>
      </w:r>
    </w:p>
    <w:p w14:paraId="401CD734">
      <w:pPr>
        <w:spacing w:before="0" w:after="16"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EA6A542">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 Wykonawca będzie usuwać na bieżąco, na własny koszt, wszelkie zanieczyszczenia spowodowane jego pojazdami na drogach publicznych oraz dojazdach do terenu budowy. </w:t>
      </w:r>
    </w:p>
    <w:p w14:paraId="118E9FBC">
      <w:pPr>
        <w:spacing w:before="0" w:after="2"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A44FA27">
      <w:pPr>
        <w:keepNext/>
        <w:keepLines/>
        <w:spacing w:before="0" w:after="5" w:line="252" w:lineRule="exact"/>
        <w:ind w:left="490" w:right="0" w:hanging="10"/>
        <w:jc w:val="both"/>
        <w:rPr>
          <w:rFonts w:ascii="Arial" w:hAnsi="Arial" w:eastAsia="Arial" w:cs="Arial"/>
          <w:b/>
          <w:color w:val="000000"/>
          <w:spacing w:val="0"/>
          <w:sz w:val="20"/>
          <w:highlight w:val="white"/>
        </w:rPr>
      </w:pPr>
      <w:r>
        <w:rPr>
          <w:rFonts w:ascii="Arial" w:hAnsi="Arial" w:eastAsia="Arial" w:cs="Arial"/>
          <w:b/>
          <w:color w:val="000000"/>
          <w:spacing w:val="0"/>
          <w:sz w:val="20"/>
          <w:shd w:val="clear" w:fill="FFFFFF"/>
        </w:rPr>
        <w:t xml:space="preserve">5. STB 00.05 WYKONANIE ROBÓT </w:t>
      </w:r>
    </w:p>
    <w:p w14:paraId="143B1054">
      <w:pPr>
        <w:spacing w:before="0" w:after="5"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58B4334">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5.1. Przed rozpoczęciem robot wykonawca opracuje i uzgodni Inspektorem i Zamawiającym: </w:t>
      </w:r>
    </w:p>
    <w:p w14:paraId="6C844587">
      <w:pPr>
        <w:numPr>
          <w:ilvl w:val="0"/>
          <w:numId w:val="23"/>
        </w:numPr>
        <w:spacing w:before="0" w:after="5" w:line="267" w:lineRule="exact"/>
        <w:ind w:left="1215" w:right="2092"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projekt zagospodarowania placu budowy, który powinien składać się z części opisowej i graficznej, </w:t>
      </w:r>
    </w:p>
    <w:p w14:paraId="3C359F32">
      <w:pPr>
        <w:numPr>
          <w:ilvl w:val="0"/>
          <w:numId w:val="23"/>
        </w:numPr>
        <w:spacing w:before="0" w:after="5" w:line="267" w:lineRule="exact"/>
        <w:ind w:left="1215" w:right="2092"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plan bezpieczeństwa i ochrony zdrowia (plan BiOZ), </w:t>
      </w:r>
      <w:r>
        <w:rPr>
          <w:rFonts w:ascii="Segoe UI Symbol" w:hAnsi="Segoe UI Symbol" w:eastAsia="Segoe UI Symbol" w:cs="Segoe UI Symbol"/>
          <w:color w:val="000000"/>
          <w:spacing w:val="0"/>
          <w:sz w:val="20"/>
          <w:shd w:val="clear" w:fill="FFFFFF"/>
        </w:rPr>
        <w:t>·</w:t>
      </w:r>
      <w:r>
        <w:rPr>
          <w:rFonts w:ascii="Arial" w:hAnsi="Arial" w:eastAsia="Arial" w:cs="Arial"/>
          <w:color w:val="000000"/>
          <w:spacing w:val="0"/>
          <w:sz w:val="20"/>
          <w:shd w:val="clear" w:fill="FFFFFF"/>
        </w:rPr>
        <w:t xml:space="preserve"> </w:t>
      </w:r>
      <w:r>
        <w:rPr>
          <w:rFonts w:ascii="Arial" w:hAnsi="Arial" w:eastAsia="Arial" w:cs="Arial"/>
          <w:color w:val="000000"/>
          <w:spacing w:val="0"/>
          <w:sz w:val="20"/>
          <w:shd w:val="clear" w:fill="FFFFFF"/>
        </w:rPr>
        <w:tab/>
      </w:r>
      <w:r>
        <w:rPr>
          <w:rFonts w:ascii="Arial" w:hAnsi="Arial" w:eastAsia="Arial" w:cs="Arial"/>
          <w:color w:val="000000"/>
          <w:spacing w:val="0"/>
          <w:sz w:val="20"/>
          <w:shd w:val="clear" w:fill="FFFFFF"/>
        </w:rPr>
        <w:t xml:space="preserve">projekt organizacji budowy. </w:t>
      </w:r>
    </w:p>
    <w:p w14:paraId="23EC31EA">
      <w:pPr>
        <w:spacing w:before="0" w:after="7"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15AE86F">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5.2. Wykonawca jest odpowiedzialny za prowadzenie robót zgodnie z umową lub kontraktem oraz za jakość zastosowanych materiałów i wykonywanych robót, za ich zgodność z dokumentacją projektową, wymaganiami ST,  projektem organizacji robót, planem BIOZ, projektem zagospodarowania placu budowy oraz poleceniami Inspektora nadzoru. </w:t>
      </w:r>
    </w:p>
    <w:p w14:paraId="618310AE">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596E1C1">
      <w:pPr>
        <w:spacing w:before="0" w:after="5" w:line="266" w:lineRule="exact"/>
        <w:ind w:left="490" w:right="2" w:hanging="1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5.2.1 Wykonawca ponosi odpowiedzialność za pełną obsługę geodezyjną przy wykonywaniu wszystkich elementów robót określonych w dokumentacji projektowej lub przekazanych na piśmie przez Inspektora nadzoru. </w:t>
      </w:r>
    </w:p>
    <w:p w14:paraId="7F48458E">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A25E924">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5.2.2 Następstwa jakiegokolwiek błędu spowodowanego przez Wykonawcę w wytyczeniu i wykonywaniu robót zostaną, jeśli wymagać tego będzie Inspektor nadzoru, poprawione przez Wykonawcę na własny koszt. </w:t>
      </w:r>
    </w:p>
    <w:p w14:paraId="36B33CAA">
      <w:pPr>
        <w:spacing w:before="0" w:after="15"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C1936E1">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5.2.3 Decyzje Inspektora nadzoru dotyczące akceptacji lub odrzucenia materiałów i elementów robót będą oparte na wymaganiach sformułowanych w dokumentach umowy, dokumentacji projektowej i w SST, a także w normach i wytycznych. Polecenia Inspektora nadzoru dotyczące realizacji robót będą wykonywane przez Wykonawcę nie później niż w czasie przez niego wyznaczonym, pod groźbą wstrzymania robót. Skutki finansowe z tytułu wstrzymania robót w takiej sytuacji ponosi Wykonawca. </w:t>
      </w:r>
    </w:p>
    <w:p w14:paraId="490185A3">
      <w:pPr>
        <w:spacing w:before="0" w:after="5"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3E6F34D">
      <w:pPr>
        <w:keepNext/>
        <w:keepLines/>
        <w:spacing w:before="0" w:after="5" w:line="252" w:lineRule="exact"/>
        <w:ind w:left="490" w:right="0" w:hanging="10"/>
        <w:jc w:val="both"/>
        <w:rPr>
          <w:rFonts w:ascii="Arial" w:hAnsi="Arial" w:eastAsia="Arial" w:cs="Arial"/>
          <w:b/>
          <w:color w:val="000000"/>
          <w:spacing w:val="0"/>
          <w:sz w:val="20"/>
          <w:highlight w:val="white"/>
        </w:rPr>
      </w:pPr>
      <w:r>
        <w:rPr>
          <w:rFonts w:ascii="Arial" w:hAnsi="Arial" w:eastAsia="Arial" w:cs="Arial"/>
          <w:b/>
          <w:color w:val="000000"/>
          <w:spacing w:val="0"/>
          <w:sz w:val="20"/>
          <w:shd w:val="clear" w:fill="FFFFFF"/>
        </w:rPr>
        <w:t xml:space="preserve">6. STB 00.06 KONTROLA JAKOŚCI ROBÓT </w:t>
      </w:r>
    </w:p>
    <w:p w14:paraId="52DF9B1E">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64896CE">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6.1. Program zapewnienia jakości </w:t>
      </w:r>
    </w:p>
    <w:p w14:paraId="5F655474">
      <w:pPr>
        <w:spacing w:before="0" w:after="17"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1A69947">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Do obowiązków Wykonawcy (jeżeli Inwestor wymaga w SIWZ lub projekcie umowy)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 Program zapewnienia jakości winien zawierać: </w:t>
      </w:r>
    </w:p>
    <w:p w14:paraId="26A14AE6">
      <w:pPr>
        <w:numPr>
          <w:ilvl w:val="0"/>
          <w:numId w:val="2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organizację wykonania robót, w tym termin i sposób prowadzenia robót, </w:t>
      </w:r>
    </w:p>
    <w:p w14:paraId="17A9D396">
      <w:pPr>
        <w:numPr>
          <w:ilvl w:val="0"/>
          <w:numId w:val="2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organizację ruchu na budowie wraz z oznakowaniem robót, </w:t>
      </w:r>
    </w:p>
    <w:p w14:paraId="3E093C71">
      <w:pPr>
        <w:numPr>
          <w:ilvl w:val="0"/>
          <w:numId w:val="2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plan bezpieczeństwa i ochrony zdrowia, </w:t>
      </w:r>
    </w:p>
    <w:p w14:paraId="7521E5C9">
      <w:pPr>
        <w:numPr>
          <w:ilvl w:val="0"/>
          <w:numId w:val="2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wykaz zespołów roboczych, ich kwalifikacje i przygotowanie praktyczne, </w:t>
      </w:r>
    </w:p>
    <w:p w14:paraId="23A1159C">
      <w:pPr>
        <w:numPr>
          <w:ilvl w:val="0"/>
          <w:numId w:val="2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wykaz osób odpowiedzialnych za jakość i terminowość wykonania poszczególnych elementów robót, </w:t>
      </w:r>
    </w:p>
    <w:p w14:paraId="525B1785">
      <w:pPr>
        <w:numPr>
          <w:ilvl w:val="0"/>
          <w:numId w:val="24"/>
        </w:numPr>
        <w:spacing w:before="0" w:after="25" w:line="266"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system (sposób i procedurę) proponowanej kontroli i sterowania jakością wykonywanych robót, </w:t>
      </w:r>
      <w:r>
        <w:rPr>
          <w:rFonts w:ascii="Segoe UI Symbol" w:hAnsi="Segoe UI Symbol" w:eastAsia="Segoe UI Symbol" w:cs="Segoe UI Symbol"/>
          <w:color w:val="000000"/>
          <w:spacing w:val="0"/>
          <w:sz w:val="20"/>
          <w:shd w:val="clear" w:fill="FFFFFF"/>
        </w:rPr>
        <w:t>·</w:t>
      </w:r>
      <w:r>
        <w:rPr>
          <w:rFonts w:ascii="Arial" w:hAnsi="Arial" w:eastAsia="Arial" w:cs="Arial"/>
          <w:color w:val="000000"/>
          <w:spacing w:val="0"/>
          <w:sz w:val="20"/>
          <w:shd w:val="clear" w:fill="FFFFFF"/>
        </w:rPr>
        <w:t xml:space="preserve"> </w:t>
      </w:r>
      <w:r>
        <w:rPr>
          <w:rFonts w:ascii="Arial" w:hAnsi="Arial" w:eastAsia="Arial" w:cs="Arial"/>
          <w:color w:val="000000"/>
          <w:spacing w:val="0"/>
          <w:sz w:val="20"/>
          <w:shd w:val="clear" w:fill="FFFFFF"/>
        </w:rPr>
        <w:tab/>
      </w:r>
      <w:r>
        <w:rPr>
          <w:rFonts w:ascii="Arial" w:hAnsi="Arial" w:eastAsia="Arial" w:cs="Arial"/>
          <w:color w:val="000000"/>
          <w:spacing w:val="0"/>
          <w:sz w:val="20"/>
          <w:shd w:val="clear" w:fill="FFFFFF"/>
        </w:rPr>
        <w:t xml:space="preserve">wyposażenie w sprzęt i urządzenia do pomiarów i kontroli (opis laboratorium własnego lub laboratorium, któremu Wykonawca zamierza zlecić prowadzenie badań), </w:t>
      </w:r>
    </w:p>
    <w:p w14:paraId="09477F7A">
      <w:pPr>
        <w:numPr>
          <w:ilvl w:val="0"/>
          <w:numId w:val="2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sposób oraz formę gromadzenia wyników badań laboratoryjnych, zapis pomiarów, a także wyciąganych wniosków i zastosowanych korekt w procesie technologicznym, proponowany sposób i formę przekazywania tych informacji Inspektorowi nadzoru, </w:t>
      </w:r>
    </w:p>
    <w:p w14:paraId="69E4D86A">
      <w:pPr>
        <w:numPr>
          <w:ilvl w:val="0"/>
          <w:numId w:val="2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wykaz maszyn i urządzeń stosowanych na budowie z ich parametrami technicznymi oraz wyposażeniem w mechanizmy do sterowania i urządzenia pomiarowo-kontrolne, </w:t>
      </w:r>
    </w:p>
    <w:p w14:paraId="216B60EF">
      <w:pPr>
        <w:numPr>
          <w:ilvl w:val="0"/>
          <w:numId w:val="2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rodzaje i ilość środków transportu oraz urządzeń do magazynowania i załadunku materiałów, spoiw, lepiszczy, kruszyw itp., </w:t>
      </w:r>
    </w:p>
    <w:p w14:paraId="22DBD5BA">
      <w:pPr>
        <w:numPr>
          <w:ilvl w:val="0"/>
          <w:numId w:val="2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sposób i procedurę pomiarów i badań (rodzaj i częstotliwość, pobieranie próbek, legalizacja i sprawdzanie urządzeń itp.) prowadzonych podczas dostaw materiałów, wytwarzania mieszanek i wykonywania poszczególnych elementów robót. </w:t>
      </w:r>
    </w:p>
    <w:p w14:paraId="19D3802A">
      <w:pPr>
        <w:spacing w:before="0" w:after="17"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8805D60">
      <w:pPr>
        <w:numPr>
          <w:ilvl w:val="0"/>
          <w:numId w:val="25"/>
        </w:numPr>
        <w:spacing w:before="0" w:after="5" w:line="267" w:lineRule="exact"/>
        <w:ind w:left="869" w:right="10" w:hanging="389"/>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Zasady kontroli jakości robót </w:t>
      </w:r>
    </w:p>
    <w:p w14:paraId="63A92896">
      <w:pPr>
        <w:spacing w:before="0" w:after="14"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745F6F2">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jest odpowiedzialny za pełną kontrolę jakości robot i stosowanych materiałów. Wykonawca zapewni odpowiedni system kontroli, włączając w to personel, laboratorium, sprzęt, zaopatrzenie i wszystkie urządzenia niezbędne do pobierania próbek i badań materiałów oraz robót. Wykonawca będzie przeprowadzać pomiary i badania materiałów oraz robót z częstotliwością zapewniającą stwierdzenie, że roboty wykonano zgodnie z wymaganiami zawartymi w dokumentacji projektowej i SST. Minimalne wymagania co do zakresu badań i ich częstotliwości są określone w SST. W przypadku, gdy nie zostały one tam określone, Inspektor nadzoru ustali jaki zakres kontroli jest konieczny, aby zapewnić wykonanie robót zgodnie z umową. Inspektor nadzoru będzie mieć nieograniczony dostęp do pomieszczeń laboratoryjnych Wykonawcy w celu ich inspekcji. 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robot badanych materiałów i dopuści je do użytku dopiero wtedy, gdy niedociągnięcia w pracy laboratorium Wykonawcy zostaną usunięte i stwierdzona zostanie odpowiednia jakość tych materiałów. Wszystkie koszty związane z organizowaniem i prowadzeniem badań materiałów i robót ponosi Wykonawca. </w:t>
      </w:r>
    </w:p>
    <w:p w14:paraId="0C494A13">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4BEAB24">
      <w:pPr>
        <w:numPr>
          <w:ilvl w:val="0"/>
          <w:numId w:val="26"/>
        </w:numPr>
        <w:spacing w:before="0" w:after="5" w:line="267" w:lineRule="exact"/>
        <w:ind w:left="869" w:right="10" w:hanging="389"/>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Pobieranie próbek </w:t>
      </w:r>
    </w:p>
    <w:p w14:paraId="592FC2BF">
      <w:pPr>
        <w:spacing w:before="0" w:after="14"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60307B1">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Próbki będą pobierane losowo. Zaleca się stosowanie statystycznych metod pobierania próbek, opartych na zasadzie, że wszystkie jednostkowe elementy produkcji mogą być z jednakowym prawdopodobieństwem wytypowane do badań. 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 Pojemniki do pobierania próbek będą dostarczone przez Wykonawcę i zatwierdzone przez Inspektora nadzoru. Próbki dostarczone przez Wykonawcę do badań będą odpowiednio opisane i oznakowane, w sposób zaakceptowany przez Inspektora nadzoru. </w:t>
      </w:r>
    </w:p>
    <w:p w14:paraId="1254C843">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359C293">
      <w:pPr>
        <w:numPr>
          <w:ilvl w:val="0"/>
          <w:numId w:val="27"/>
        </w:numPr>
        <w:spacing w:before="0" w:after="5" w:line="267" w:lineRule="exact"/>
        <w:ind w:left="869" w:right="10" w:hanging="389"/>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Badania i pomiary </w:t>
      </w:r>
    </w:p>
    <w:p w14:paraId="618687ED">
      <w:pPr>
        <w:spacing w:before="0" w:after="9"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54E4570">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Wszystkie badania i pomiary będą przeprowadzone zgodnie z wymaganiami norm. W przypadku, gdy normy nie obejmują jakiegokolwiek badania wymaganego w SST, stosować można wytyczne krajowe, albo inne procedury, zaakceptowane przez Inspektora nadzoru. Przed przystąpieniem do pomiarów lub badań, Wykonawca powiadomi Inspektora nadzoru o rodzaju, miejscu i terminie pomiaru lub badania. Po wykonaniu pomiaru lub badania, Wykonawca przedstawi na piśmie ich wyniki do akceptacji Inspektora nadzoru. </w:t>
      </w:r>
    </w:p>
    <w:p w14:paraId="7CA84C24">
      <w:pPr>
        <w:spacing w:before="0" w:after="17"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2CC37B4">
      <w:pPr>
        <w:numPr>
          <w:ilvl w:val="0"/>
          <w:numId w:val="28"/>
        </w:numPr>
        <w:spacing w:before="0" w:after="5" w:line="267" w:lineRule="exact"/>
        <w:ind w:left="869" w:right="10" w:hanging="389"/>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Raporty z badań </w:t>
      </w:r>
    </w:p>
    <w:p w14:paraId="7961DA9F">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AE68574">
      <w:pPr>
        <w:spacing w:before="0" w:after="5" w:line="266" w:lineRule="exact"/>
        <w:ind w:left="490" w:right="2" w:hanging="1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Wykonawca będzie przekazywać Inspektorowi nadzoru kopie raportów z wynikami badań jak najszybciej, nie później jednak niż w terminie określonym w programie zapewnienia jakości. Wyniki badań (kopie) będą przekazywane Inspektorowi nadzoru na formularzach według dostarczonego przez niego wzoru lub innych, przez niego zaaprobowanych. </w:t>
      </w:r>
    </w:p>
    <w:p w14:paraId="0F793C6A">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B74DCD6">
      <w:pPr>
        <w:numPr>
          <w:ilvl w:val="0"/>
          <w:numId w:val="29"/>
        </w:numPr>
        <w:spacing w:before="0" w:after="5" w:line="267" w:lineRule="exact"/>
        <w:ind w:left="869" w:right="10" w:hanging="389"/>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Badania prowadzone przez Inspektora nadzoru </w:t>
      </w:r>
    </w:p>
    <w:p w14:paraId="02E683AF">
      <w:pPr>
        <w:spacing w:before="0" w:after="16"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02A1C7A">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 Inspektor nadzoru, po uprzedniej weryfikacji systemu kontroli robót prowadzonego przez Wykonawcę, będzie oceniać zgodność materiałów i robót z wymaganiami SST na podstawie wyników badań dostarczonych przez Wykonawcę. 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 </w:t>
      </w:r>
    </w:p>
    <w:p w14:paraId="75D912A2">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48AD88D">
      <w:pPr>
        <w:numPr>
          <w:ilvl w:val="0"/>
          <w:numId w:val="30"/>
        </w:numPr>
        <w:spacing w:before="0" w:after="5" w:line="267" w:lineRule="exact"/>
        <w:ind w:left="869" w:right="10" w:hanging="389"/>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Certyfikaty i deklaracje </w:t>
      </w:r>
    </w:p>
    <w:p w14:paraId="00410AD8">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806DD21">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Inspektor nadzoru może dopuścić do użycia tylko te wyroby i materiały, które: </w:t>
      </w:r>
    </w:p>
    <w:p w14:paraId="3E60F88B">
      <w:pPr>
        <w:numPr>
          <w:ilvl w:val="0"/>
          <w:numId w:val="31"/>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posiadają certyfikat na znak bezpieczeństwa wykazujący, że zapewniono zgodność z kryteriami technicznymi określonymi na podstawie Polskich Norm, aprobat technicznych oraz właściwych przepisów i informacji o ich istnieniu zgodnie z rozporządzeniem MSWiA z 1998 r. (Dz. U. 99/98),, </w:t>
      </w:r>
    </w:p>
    <w:p w14:paraId="0CBD2B61">
      <w:pPr>
        <w:numPr>
          <w:ilvl w:val="0"/>
          <w:numId w:val="31"/>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posiadają deklarację zgodności lub certyfikat zgodności z: Polską Normą lub aprobatą techniczną, w przypadku wyrobów, dla których nie ustanowiono Polskiej Normy, jeżeli nie są objęte certyfikacją określoną w pkt. 1 i które spełniają wymogi SST. </w:t>
      </w:r>
    </w:p>
    <w:p w14:paraId="75357936">
      <w:pPr>
        <w:numPr>
          <w:ilvl w:val="0"/>
          <w:numId w:val="31"/>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znajdują się w wykazie wyrobów, o którym mowa w rozporządzeniu MSWiA z 1998 r. (Dz. U. 98/99). </w:t>
      </w:r>
    </w:p>
    <w:p w14:paraId="516C962A">
      <w:pPr>
        <w:numPr>
          <w:ilvl w:val="0"/>
          <w:numId w:val="31"/>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 przypadku materiałów, dla których ww. dokumenty są wymagane przez SST, każda ich partia dostarczona do robót będzie posiadać te dokumenty, określające w sposób jedno-znaczny jej cechy. </w:t>
      </w:r>
    </w:p>
    <w:p w14:paraId="5BE8651A">
      <w:pPr>
        <w:numPr>
          <w:ilvl w:val="0"/>
          <w:numId w:val="31"/>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jakiekolwiek materiały, które nie spełniają tych wymagań będą odrzucone. </w:t>
      </w:r>
    </w:p>
    <w:p w14:paraId="6C2FF83F">
      <w:pPr>
        <w:spacing w:before="0" w:after="0" w:line="259" w:lineRule="exact"/>
        <w:ind w:left="121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55BAFD0">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6.8. Dokumenty budowy </w:t>
      </w:r>
    </w:p>
    <w:p w14:paraId="37E3F3C5">
      <w:pPr>
        <w:spacing w:before="0" w:after="17"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D2EEB6B">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6.8.1 Dziennik budowy jest wymaganym dokumentem urzędowym obowiązującym Zamawiającego i Wykonawcę w okresie od przekazania wykonawcy terenu budowy do końca okresu gwarancyjnego. </w:t>
      </w:r>
    </w:p>
    <w:p w14:paraId="1CD441B1">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Prowadzenie dziennika budowy zgodnie z § 45 ustawy Prawo budowlane spoczywa na kierowniku budowy. Zapisy w dzienniku budowy będą dokonywane na bieżąco i będą dotyczyć przebiegu robót, stanu bezpieczeństwa ludzi i mienia oraz technicznej strony budowy. Zapisy będą czytelne, dokonane trwałą techniką, w porządku chronologicznym, bezpośrednio jeden pod drugim, bez przerw. Załączone do dziennika budowy protokoły i inne dokumenty będą oznaczone kolejnym numerem załącznika i opatrzone datą i podpisem Wykonawcy i Inspektora nadzoru.  </w:t>
      </w:r>
    </w:p>
    <w:p w14:paraId="6DF21AE5">
      <w:pPr>
        <w:spacing w:before="0" w:after="17"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C52B7D6">
      <w:pPr>
        <w:spacing w:before="0" w:after="5" w:line="267" w:lineRule="exact"/>
        <w:ind w:left="490" w:right="4408"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Do dziennika budowy należy wpisywać w szczególności: a) datę przekazania Wykonawcy terenu budowy, </w:t>
      </w:r>
    </w:p>
    <w:p w14:paraId="4CA06CC3">
      <w:pPr>
        <w:numPr>
          <w:ilvl w:val="0"/>
          <w:numId w:val="32"/>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datę przekazania przez Zamawiającego dokumentacji projektowej, </w:t>
      </w:r>
    </w:p>
    <w:p w14:paraId="6D876396">
      <w:pPr>
        <w:numPr>
          <w:ilvl w:val="0"/>
          <w:numId w:val="32"/>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uzgodnienie przez Inspektora nadzoru programu zapewnienia jakości i harmonogramów robót, </w:t>
      </w:r>
    </w:p>
    <w:p w14:paraId="3240A245">
      <w:pPr>
        <w:numPr>
          <w:ilvl w:val="0"/>
          <w:numId w:val="32"/>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terminy rozpoczęcia i zakończenia poszczególnych elementów robót, </w:t>
      </w:r>
    </w:p>
    <w:p w14:paraId="1BD77E89">
      <w:pPr>
        <w:numPr>
          <w:ilvl w:val="0"/>
          <w:numId w:val="32"/>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przebieg robót, trudności i przeszkody w ich prowadzeniu, okresy i przyczyny przerw w robotach, f) </w:t>
      </w:r>
      <w:r>
        <w:rPr>
          <w:rFonts w:ascii="Arial" w:hAnsi="Arial" w:eastAsia="Arial" w:cs="Arial"/>
          <w:color w:val="000000"/>
          <w:spacing w:val="0"/>
          <w:sz w:val="20"/>
          <w:shd w:val="clear" w:fill="FFFFFF"/>
        </w:rPr>
        <w:tab/>
      </w:r>
      <w:r>
        <w:rPr>
          <w:rFonts w:ascii="Arial" w:hAnsi="Arial" w:eastAsia="Arial" w:cs="Arial"/>
          <w:color w:val="000000"/>
          <w:spacing w:val="0"/>
          <w:sz w:val="20"/>
          <w:shd w:val="clear" w:fill="FFFFFF"/>
        </w:rPr>
        <w:t xml:space="preserve">uwagi i polecenia Inspektora nadzoru, </w:t>
      </w:r>
    </w:p>
    <w:p w14:paraId="3A229900">
      <w:pPr>
        <w:numPr>
          <w:ilvl w:val="0"/>
          <w:numId w:val="32"/>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daty zarządzenia wstrzymania robót, z podaniem powodu, </w:t>
      </w:r>
    </w:p>
    <w:p w14:paraId="3E21DC40">
      <w:pPr>
        <w:numPr>
          <w:ilvl w:val="0"/>
          <w:numId w:val="32"/>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zgłoszenia i daty odbiorów robót zanikających i ulegających zakryciu, częściowych i ostatecznych odbiorów robót, </w:t>
      </w:r>
    </w:p>
    <w:p w14:paraId="3351981E">
      <w:pPr>
        <w:numPr>
          <w:ilvl w:val="0"/>
          <w:numId w:val="32"/>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wyjaśnienia, uwagi i propozycje Wykonawcy, </w:t>
      </w:r>
    </w:p>
    <w:p w14:paraId="51E47B52">
      <w:pPr>
        <w:numPr>
          <w:ilvl w:val="0"/>
          <w:numId w:val="32"/>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stan pogody i temperaturę powietrza w okresie wykonywania robót podlegających ograniczeniom lub wymaganiom w związku z warunkami klimatycznymi, </w:t>
      </w:r>
    </w:p>
    <w:p w14:paraId="5D059357">
      <w:pPr>
        <w:numPr>
          <w:ilvl w:val="0"/>
          <w:numId w:val="32"/>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zgodność rzeczywistych warunków geotechnicznych z ich opisem w dokumentacji projektowej </w:t>
      </w:r>
    </w:p>
    <w:p w14:paraId="0F85D1CB">
      <w:pPr>
        <w:numPr>
          <w:ilvl w:val="0"/>
          <w:numId w:val="32"/>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dane dotyczące czynności geodezyjnych (pomiarowych) dokonywanych przed i w trakcie wykonywania robót, </w:t>
      </w:r>
    </w:p>
    <w:p w14:paraId="067CDCA1">
      <w:pPr>
        <w:numPr>
          <w:ilvl w:val="0"/>
          <w:numId w:val="32"/>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dane dotyczące sposobu wykonywania zabezpieczenia robót, </w:t>
      </w:r>
    </w:p>
    <w:p w14:paraId="187E1FC0">
      <w:pPr>
        <w:numPr>
          <w:ilvl w:val="0"/>
          <w:numId w:val="32"/>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dane dotyczące jakości materiałów, pobierania próbek oraz wyniki przeprowadzonych badań z podaniem kto je przeprowadzał, </w:t>
      </w:r>
    </w:p>
    <w:p w14:paraId="472D2A91">
      <w:pPr>
        <w:numPr>
          <w:ilvl w:val="0"/>
          <w:numId w:val="32"/>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wyniki prób  poszczególnych elementów budowli z podaniem kto je przeprowadzał, </w:t>
      </w:r>
    </w:p>
    <w:p w14:paraId="0B060134">
      <w:pPr>
        <w:numPr>
          <w:ilvl w:val="0"/>
          <w:numId w:val="32"/>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inne istotne informacje o przebiegu robót. </w:t>
      </w:r>
    </w:p>
    <w:p w14:paraId="5B238264">
      <w:pPr>
        <w:spacing w:before="0" w:after="19"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A0A16C5">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Propozycje, uwagi i wyjaśnienia Wykonawcy, wpisane do dziennika budowy będą przedłożone Inspektorowi nadzoru do ustosunkowania się. Decyzje Inspektora nadzoru wpisane do dziennika budowy Wykonawca podpisuje z zaznaczeniem ich przyjęcia lub zajęciem stanowiska. Wpis projektanta do dziennika budowy obliguje Inspektora nadzoru do ustosunkowania się. Projektant nie jest jednak stroną umowy i nie ma uprawnień do wydawania poleceń Wykonawcy robót. </w:t>
      </w:r>
    </w:p>
    <w:p w14:paraId="1A0F24A3">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B445453">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6.8.2 Książka obmiarów (jeżeli występuje rozliczenie kosztorysowe) </w:t>
      </w:r>
    </w:p>
    <w:p w14:paraId="3B123B10">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Książka obmiarów stanowi dokument pozwalający na rozliczenie faktycznego postępu każdego z elementów robót. Obmiary wykonanych robot przeprowadza się sukcesywnie w jednostkach przyjętych w kosztorysie lub w SST. </w:t>
      </w:r>
    </w:p>
    <w:p w14:paraId="7F565E87">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8237D5F">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520F019">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6.8.3 Dokumenty laboratoryjne </w:t>
      </w:r>
    </w:p>
    <w:p w14:paraId="5186A1DF">
      <w:pPr>
        <w:spacing w:before="0" w:after="5" w:line="266" w:lineRule="exact"/>
        <w:ind w:left="490" w:right="2" w:hanging="1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 </w:t>
      </w:r>
    </w:p>
    <w:p w14:paraId="1773F913">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C4B75C3">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6.8.4 Pozostałe dokumenty budowy </w:t>
      </w:r>
    </w:p>
    <w:p w14:paraId="60445E28">
      <w:pPr>
        <w:spacing w:before="0" w:after="5" w:line="267" w:lineRule="exact"/>
        <w:ind w:left="905" w:right="1386" w:hanging="425"/>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Do dokumentów budowy zalicza się, oprócz wyżej wymienionych, następujące dokumenty: a) pozwolenie na budowę, </w:t>
      </w:r>
    </w:p>
    <w:p w14:paraId="7F442E98">
      <w:pPr>
        <w:numPr>
          <w:ilvl w:val="0"/>
          <w:numId w:val="33"/>
        </w:numPr>
        <w:spacing w:before="0" w:after="5" w:line="267" w:lineRule="exact"/>
        <w:ind w:left="128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protokoły przekazania terenu budowy, </w:t>
      </w:r>
    </w:p>
    <w:p w14:paraId="4F884CE5">
      <w:pPr>
        <w:numPr>
          <w:ilvl w:val="0"/>
          <w:numId w:val="33"/>
        </w:numPr>
        <w:spacing w:before="0" w:after="5" w:line="267" w:lineRule="exact"/>
        <w:ind w:left="128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umowy cywilnoprawne z osobami trzecimi, </w:t>
      </w:r>
    </w:p>
    <w:p w14:paraId="55786564">
      <w:pPr>
        <w:numPr>
          <w:ilvl w:val="0"/>
          <w:numId w:val="33"/>
        </w:numPr>
        <w:spacing w:before="0" w:after="5" w:line="267" w:lineRule="exact"/>
        <w:ind w:left="128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protokoły odbioru robót, </w:t>
      </w:r>
    </w:p>
    <w:p w14:paraId="1E6D1BBA">
      <w:pPr>
        <w:numPr>
          <w:ilvl w:val="0"/>
          <w:numId w:val="33"/>
        </w:numPr>
        <w:spacing w:before="0" w:after="5" w:line="267" w:lineRule="exact"/>
        <w:ind w:left="128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protokoły z narad i ustaleń, </w:t>
      </w:r>
    </w:p>
    <w:p w14:paraId="253134B5">
      <w:pPr>
        <w:numPr>
          <w:ilvl w:val="0"/>
          <w:numId w:val="33"/>
        </w:numPr>
        <w:spacing w:before="0" w:after="5" w:line="267" w:lineRule="exact"/>
        <w:ind w:left="128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operaty geodezyjne, </w:t>
      </w:r>
    </w:p>
    <w:p w14:paraId="3A766020">
      <w:pPr>
        <w:numPr>
          <w:ilvl w:val="0"/>
          <w:numId w:val="33"/>
        </w:numPr>
        <w:spacing w:before="0" w:after="5" w:line="267" w:lineRule="exact"/>
        <w:ind w:left="128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plan bezpieczeństwa i ochrony zdrowia. </w:t>
      </w:r>
    </w:p>
    <w:p w14:paraId="755E9FA1">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44F4A7D">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Przechowywanie dokumentów budowy </w:t>
      </w:r>
    </w:p>
    <w:p w14:paraId="2BB5AC5F">
      <w:pPr>
        <w:spacing w:before="0" w:after="5" w:line="266" w:lineRule="exact"/>
        <w:ind w:left="490" w:right="2" w:hanging="1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 </w:t>
      </w:r>
    </w:p>
    <w:p w14:paraId="5810F957">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D8820E4">
      <w:pPr>
        <w:keepNext/>
        <w:keepLines/>
        <w:spacing w:before="0" w:after="5" w:line="252" w:lineRule="exact"/>
        <w:ind w:left="490" w:right="0" w:hanging="10"/>
        <w:jc w:val="both"/>
        <w:rPr>
          <w:rFonts w:ascii="Arial" w:hAnsi="Arial" w:eastAsia="Arial" w:cs="Arial"/>
          <w:b/>
          <w:color w:val="000000"/>
          <w:spacing w:val="0"/>
          <w:sz w:val="20"/>
          <w:highlight w:val="white"/>
        </w:rPr>
      </w:pPr>
      <w:r>
        <w:rPr>
          <w:rFonts w:ascii="Arial" w:hAnsi="Arial" w:eastAsia="Arial" w:cs="Arial"/>
          <w:b/>
          <w:color w:val="000000"/>
          <w:spacing w:val="0"/>
          <w:sz w:val="20"/>
          <w:shd w:val="clear" w:fill="FFFFFF"/>
        </w:rPr>
        <w:t xml:space="preserve">7. STB 00.07 OBMIAR ROBÓT </w:t>
      </w:r>
    </w:p>
    <w:p w14:paraId="72254CF4">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1777BEA">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7.1. Ogólne zasady obmiaru Robót (dotyczy rozliczenia kosztorysowego) </w:t>
      </w:r>
    </w:p>
    <w:p w14:paraId="48C08A1A">
      <w:pPr>
        <w:spacing w:before="0" w:after="12"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067BADC">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Obmiar Robót będzie określać faktyczny zakres wykonywanych Robót zgodnie z Dokumentacją Projektową i ST w jednostkach ustalonych w Kosztorysie. Obmiaru Robót dokonuje Wykonawca po pisemnym powiadomieniu Inżyniera o zakresie obmierzanych Robót i o terminie obmiaru, co najmniej 3 dni przed tym terminem. Wyniki obmiaru będą wpisane do Rejestru Obmiarów. Jakikolwiek błąd lub przeoczenie (opuszczenie) w ilościach podanych w Przedmiarze lub gdzie indziej w Specyfikacjach Technicznych nie zwalnia Wykonawcy od obowiązku ukończenia wszystkich Robót. Wskazane braki w przedmiarach robot mogą być wyjaśniane i uzupełniane na etapie postępowania przetargowego, poprzez zgłoszenie – zapytanie skierowane do Zamawiającego z wyjątkiem robot nie dających się przewidzieć przed przystąpieniem do realizacji.  Zamawiający zajmie stanowisko dotyczące ewentualnego uzupełnienia lub udzieli wyjaśnienia, a Oferenci uwzględnią zmiany w swojej ofercie. Błędne dane zostaną poprawione według instrukcji Inspektora na piśmie. Obmiar gotowych Robót będzie przeprowadzony z częstością wymaganą do celu miesięcznej płatności na rzecz Wykonawcy lub w innym czasie określonym w umowie lub oczekiwanym przez Wykonawcę i Zamawiającego. </w:t>
      </w:r>
    </w:p>
    <w:p w14:paraId="69FB5853">
      <w:pPr>
        <w:spacing w:before="0" w:after="16"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32A8964">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7.2. Zasady określania ilości Robót i materiałów </w:t>
      </w:r>
    </w:p>
    <w:p w14:paraId="39A425C1">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4A4D5CE">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Ogólne zasady przedmiarowania. Przyjęte w przedmiarze podstawy wycen nie są obowiązujące i służą jedynie jako dodatkowa informacja, którą Oferent otrzymuje pomocniczo. Przy sporządzaniu przedmiaru zastosowano zasady przedmiarowania odpowiednie do przyjętych podstaw wycen z publikacji katalogów nakładów rzeczowych – właściwych dla danych pozycji przedmiaru. W kalkulacjach indywidualnych wykazano odniesienia do zestawień, rysunków lub stanowią one sprawdzalny zapis wyrażeń obmiaru. Użyte i obowiązujące jednostki wyliczenia poszczególnych robot wg załączonych przedmiarów robót. Użyte jednostki w przedmiarze robót: [m], [m2], [m3], [szt.], [ t ], [ kg ], [ kpl ], [szt.]. Przedmiar robót jest opracowaniem pomocniczym do obliczenia ceny ofertowej, wskazane w przedmiarze braki nie są podstawą do podwyższenia ceny umownej wykonania inwestycji. </w:t>
      </w:r>
    </w:p>
    <w:p w14:paraId="4E2FDC9F">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E92ECA3">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7.3. Urządzenia i sprzęt pomiarowy </w:t>
      </w:r>
    </w:p>
    <w:p w14:paraId="5E93131A">
      <w:pPr>
        <w:spacing w:before="0" w:after="9"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93D2CB7">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Wszystkie urządzenia i sprzęt pomiarowy stosowane w czasie obmiaru Robót będą zaakceptowane przez Inspektora.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przez cały okres trwania Robót. </w:t>
      </w:r>
    </w:p>
    <w:p w14:paraId="2CD4039D">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6605C17">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7.4. Czas przeprowadzenia obmiaru </w:t>
      </w:r>
    </w:p>
    <w:p w14:paraId="1589E370">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439B47F">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Obmiary będą przeprowadzone przed częściowym lub ostatecznym odbiorem Robót, a także w przypadku występowania dłuższej przerwy w Robotach. Obmiar Robót zanikających przeprowadza się w czasie ich wykonywania. Obmiar Robót podlegających zakryciu przeprowadza się przed ich zakryciem. Roboty pomiarowe do obmiaru oraz nieodzowne obliczenia będą wykonywane w sposób zrozumiały i jednoznaczny. 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Inspektorem. </w:t>
      </w:r>
    </w:p>
    <w:p w14:paraId="0376C4A2">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F9066AF">
      <w:pPr>
        <w:keepNext/>
        <w:keepLines/>
        <w:spacing w:before="0" w:after="5" w:line="252" w:lineRule="exact"/>
        <w:ind w:left="490" w:right="0" w:hanging="10"/>
        <w:jc w:val="both"/>
        <w:rPr>
          <w:rFonts w:ascii="Arial" w:hAnsi="Arial" w:eastAsia="Arial" w:cs="Arial"/>
          <w:b/>
          <w:color w:val="000000"/>
          <w:spacing w:val="0"/>
          <w:sz w:val="20"/>
          <w:highlight w:val="white"/>
        </w:rPr>
      </w:pPr>
      <w:r>
        <w:rPr>
          <w:rFonts w:ascii="Arial" w:hAnsi="Arial" w:eastAsia="Arial" w:cs="Arial"/>
          <w:b/>
          <w:color w:val="000000"/>
          <w:spacing w:val="0"/>
          <w:sz w:val="20"/>
          <w:shd w:val="clear" w:fill="FFFFFF"/>
        </w:rPr>
        <w:t xml:space="preserve">8. STB 00.08 ODBIÓR ROBÓT </w:t>
      </w:r>
    </w:p>
    <w:p w14:paraId="7EF76C95">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0D6E832">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8.1. Rodzaje odbiorów robót </w:t>
      </w:r>
    </w:p>
    <w:p w14:paraId="1CF98B47">
      <w:pPr>
        <w:spacing w:before="0" w:after="16"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6F58D4F">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 zależności od ustaleń odpowiednich SST, roboty podlegają następującym odbiorom: </w:t>
      </w:r>
    </w:p>
    <w:p w14:paraId="2E28F94A">
      <w:pPr>
        <w:numPr>
          <w:ilvl w:val="0"/>
          <w:numId w:val="3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odbiorowi robot zanikających i ulegających zakryciu, </w:t>
      </w:r>
    </w:p>
    <w:p w14:paraId="6AFD4BED">
      <w:pPr>
        <w:numPr>
          <w:ilvl w:val="0"/>
          <w:numId w:val="3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odbiorowi przewodów kominowych, instalacji i urządzeń technicznych, </w:t>
      </w:r>
    </w:p>
    <w:p w14:paraId="3E76C8AF">
      <w:pPr>
        <w:numPr>
          <w:ilvl w:val="0"/>
          <w:numId w:val="3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odbiorowi częściowemu, </w:t>
      </w:r>
    </w:p>
    <w:p w14:paraId="73EBA8B1">
      <w:pPr>
        <w:numPr>
          <w:ilvl w:val="0"/>
          <w:numId w:val="3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odbiorowi ostatecznemu (końcowemu), </w:t>
      </w:r>
    </w:p>
    <w:p w14:paraId="01177D61">
      <w:pPr>
        <w:numPr>
          <w:ilvl w:val="0"/>
          <w:numId w:val="3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odbiorowi po upływie okresu rękojmi </w:t>
      </w:r>
    </w:p>
    <w:p w14:paraId="2E83D3A1">
      <w:pPr>
        <w:numPr>
          <w:ilvl w:val="0"/>
          <w:numId w:val="3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odbiorowi pogwarancyjnemu po upływie okresu gwarancji. </w:t>
      </w:r>
    </w:p>
    <w:p w14:paraId="2D83A910">
      <w:pPr>
        <w:spacing w:before="0" w:after="11"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B723BF6">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8.2. Odbiór robot zanikających i ulegających zakryciu </w:t>
      </w:r>
    </w:p>
    <w:p w14:paraId="3FC951C1">
      <w:pPr>
        <w:spacing w:before="0" w:after="16"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6B661BA0">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Odbiór robot zanikających i ulegających zakryciu polega na finalnej ocenie jakości wykonywanych robót oraz ilości tych robót, które w dalszym procesie realizacji ulegną zakryciu. Odbiór robót zanikających i ulegających zakryciu będzie dokonany w czasie umożliwiającym wykonanie ewentualnych korekt i poprawek bez hamowania ogólnego postępu robot. Odbioru tego dokonuje Inspektor nadzoru.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Jakość i ilość robót ulegających zakryciu ocenia Inspektor nadzoru na podstawie dokumentów zawierających komplet wyników badań laboratoryjnych i w oparciu o przeprowadzone pomiary, w konfrontacji z dokumentacją projektową, SST i uprzednimi ustaleniami. </w:t>
      </w:r>
    </w:p>
    <w:p w14:paraId="06051942">
      <w:pPr>
        <w:spacing w:before="0" w:after="1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579D879">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8.3. Odbiór częściowy </w:t>
      </w:r>
    </w:p>
    <w:p w14:paraId="0D18BB49">
      <w:pPr>
        <w:spacing w:before="0" w:after="5" w:line="266" w:lineRule="exact"/>
        <w:ind w:left="490" w:right="2" w:hanging="1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Odbiór częściowy polega na ocenie ilości i jakości wykonanych części robót. Odbioru częściowego robót dokonuje się dla zakresu robót określonego w dokumentach umownych wg zasad jak przy odbiorze ostatecznym robót. Odbioru robót dokonuje Inspektor nadzoru. </w:t>
      </w:r>
    </w:p>
    <w:p w14:paraId="3288CAC5">
      <w:pPr>
        <w:spacing w:before="0" w:after="12"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E4731CA">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8.4. Odbiór ostateczny (końcowy) </w:t>
      </w:r>
    </w:p>
    <w:p w14:paraId="52B1DB22">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E7F6B99">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8.4.1. Zasady odbioru ostatecznego robót. Odbiór ostateczny polega na finalnej ocenie rzeczywistego wykonania robót w odniesieniu do zakresu (ilości) oraz jakości. Całkowite zakończenie robót oraz gotowość do odbioru ostatecznego będzie stwierdzona przez Wykonawcę wpisem do dziennika budowy. Odbiór ostateczny robót nastąpi w terminie ustalonym w dokumentach umowy, licząc od dnia potwierdzenia przez Inspektora nadzoru zakończenia robót i przyjęcia dokumentów, o których mowa w punkcie 8.4.2. Odbioru ostatecznego robót dokona komisja wyznaczona przez Zamawiającego w obecności Inspektora nadzoru i Wykonawcy. Komisja odbierająca roboty dokona ich oceny jakościowej na podstawie przedłożonych dokumentów, wynikowa badań i pomiarów, ocenie wizualnej oraz zgodności wykonania robót z </w:t>
      </w:r>
    </w:p>
    <w:p w14:paraId="3ACC3BFD">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dokumentacją projektową i SST. W toku odbioru ostatecznego robót, komisja zapozna się z realizacją ustaleń przyjętych w trakcie odbiorów robót zanikających i ulegających zakryciu oraz odbiorów częściowych, zwłaszcza w zakresie wykonania robót uzupełniających i robót poprawkowych. W przypadkach nie wykonania wyznaczonych robót poprawkowych lub robót uzupełniających w poszczególnych elementach konstrukcyjnych i wykończeniowych, komisja przerwie swoje czynności i ustali nowy termin odbioru ostatecznego. W przypadku stwierdzenia przez komisję, że jakość wykonywanych robót w poszczególnych asortymentach nieznacznie odbiega od wymaganej dokumentacją projektową i SST z uwzględnieniem tolerancji i nie ma większego wpływu na cechy eksploatacyjne obiektu, komisja oceni pomniejszoną wartość wykonywanych robót w stosunku do wymagań przyjętych w dokumentach umowy. </w:t>
      </w:r>
    </w:p>
    <w:p w14:paraId="6EBE5678">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DCBBAC9">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8.4.2. Dokumenty do odbioru ostatecznego (końcowe) </w:t>
      </w:r>
    </w:p>
    <w:p w14:paraId="13FF2515">
      <w:pPr>
        <w:spacing w:before="0" w:after="5" w:line="266" w:lineRule="exact"/>
        <w:ind w:left="490" w:right="2" w:hanging="1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Podstawowym dokumentem jest protokół odbioru ostatecznego robót, sporządzony wg wzoru ustalonego przez Zamawiającego. Do odbioru ostatecznego Wykonawca jest zobowiązany przygotować następujące dokumenty: </w:t>
      </w:r>
    </w:p>
    <w:p w14:paraId="71320ABA">
      <w:pPr>
        <w:numPr>
          <w:ilvl w:val="0"/>
          <w:numId w:val="35"/>
        </w:numPr>
        <w:spacing w:before="0" w:after="5" w:line="267" w:lineRule="exact"/>
        <w:ind w:left="823" w:right="10" w:hanging="34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dokumentację powykonawczą, tj. dokumentację budowy z naniesionymi zmianami dokonanymi w toku wykonania robot oraz geodezyjnymi pomiarami powykonawczymi, </w:t>
      </w:r>
    </w:p>
    <w:p w14:paraId="6CBAE00A">
      <w:pPr>
        <w:numPr>
          <w:ilvl w:val="0"/>
          <w:numId w:val="35"/>
        </w:numPr>
        <w:spacing w:before="0" w:after="5" w:line="267" w:lineRule="exact"/>
        <w:ind w:left="823" w:right="10" w:hanging="34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szczegółowe specyfikacje techniczne (podstawowe z dokumentów umowy i ew. uzupełniające lub zamienne), </w:t>
      </w:r>
    </w:p>
    <w:p w14:paraId="07348A07">
      <w:pPr>
        <w:numPr>
          <w:ilvl w:val="0"/>
          <w:numId w:val="35"/>
        </w:numPr>
        <w:spacing w:before="0" w:after="5" w:line="267" w:lineRule="exact"/>
        <w:ind w:left="823" w:right="10" w:hanging="34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protokoły odbiorów robót ulegających zakryciu i zanikających, </w:t>
      </w:r>
    </w:p>
    <w:p w14:paraId="4A69273C">
      <w:pPr>
        <w:numPr>
          <w:ilvl w:val="0"/>
          <w:numId w:val="35"/>
        </w:numPr>
        <w:spacing w:before="0" w:after="5" w:line="267" w:lineRule="exact"/>
        <w:ind w:left="823" w:right="10" w:hanging="34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protokoły odbiorów częściowych, </w:t>
      </w:r>
    </w:p>
    <w:p w14:paraId="61BFCF90">
      <w:pPr>
        <w:numPr>
          <w:ilvl w:val="0"/>
          <w:numId w:val="35"/>
        </w:numPr>
        <w:spacing w:before="0" w:after="5" w:line="267" w:lineRule="exact"/>
        <w:ind w:left="823" w:right="10" w:hanging="34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recepty i ustalenia technologiczne, </w:t>
      </w:r>
    </w:p>
    <w:p w14:paraId="2395DD6D">
      <w:pPr>
        <w:numPr>
          <w:ilvl w:val="0"/>
          <w:numId w:val="35"/>
        </w:numPr>
        <w:spacing w:before="0" w:after="5" w:line="267" w:lineRule="exact"/>
        <w:ind w:left="823" w:right="10" w:hanging="34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dzienniki budowy i książki obmiarów (oryginały), </w:t>
      </w:r>
    </w:p>
    <w:p w14:paraId="01677F3E">
      <w:pPr>
        <w:numPr>
          <w:ilvl w:val="0"/>
          <w:numId w:val="35"/>
        </w:numPr>
        <w:spacing w:before="0" w:after="5" w:line="267" w:lineRule="exact"/>
        <w:ind w:left="823" w:right="10" w:hanging="34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wyniki pomiarów kontrolnych oraz badań i oznaczeń laboratoryjnych, zgodne z SST i programem zapewnienia jakości (PZJ), </w:t>
      </w:r>
    </w:p>
    <w:p w14:paraId="7197707C">
      <w:pPr>
        <w:numPr>
          <w:ilvl w:val="0"/>
          <w:numId w:val="35"/>
        </w:numPr>
        <w:spacing w:before="0" w:after="5" w:line="267" w:lineRule="exact"/>
        <w:ind w:left="823" w:right="10" w:hanging="34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deklaracje zgodności lub certyfikaty zgodności wbudowanych materiałów, certyfikaty na znak bezpieczeństwa zgodnie z SST i programem zabezpieczenia jakości (PZJ), </w:t>
      </w:r>
    </w:p>
    <w:p w14:paraId="000B63CE">
      <w:pPr>
        <w:numPr>
          <w:ilvl w:val="0"/>
          <w:numId w:val="35"/>
        </w:numPr>
        <w:spacing w:before="0" w:after="5" w:line="266" w:lineRule="exact"/>
        <w:ind w:left="823" w:right="10" w:hanging="34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rysunki (dokumentacje) na wykonanie robót towarzyszących (np. na przełożenie linii telefonicznej, energetycznej, gazowej, oświetlenia itp.) oraz protokoły odbioru i przekazania tych robót właścicielom urządzeń, </w:t>
      </w:r>
    </w:p>
    <w:p w14:paraId="5370DCA3">
      <w:pPr>
        <w:numPr>
          <w:ilvl w:val="0"/>
          <w:numId w:val="35"/>
        </w:numPr>
        <w:spacing w:before="0" w:after="5" w:line="267" w:lineRule="exact"/>
        <w:ind w:left="823" w:right="10" w:hanging="34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geodezyjną inwentaryzację powykonawczą robót i sieci uzbrojenia terenu, </w:t>
      </w:r>
    </w:p>
    <w:p w14:paraId="23625B74">
      <w:pPr>
        <w:numPr>
          <w:ilvl w:val="0"/>
          <w:numId w:val="35"/>
        </w:numPr>
        <w:spacing w:before="0" w:after="5" w:line="267" w:lineRule="exact"/>
        <w:ind w:left="823" w:right="10" w:hanging="34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kopię mapy zasadniczej powstałej w wyniku geodezyjnej inwentaryzacji powykonawczej. </w:t>
      </w:r>
    </w:p>
    <w:p w14:paraId="2DFE199D">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 przypadku, gdy wg komisji, roboty pod względem przygotowania dokumentacyjnego nie będą gotowe do odbioru ostatecznego, komisja w porozumieniu z Wykonawcą wyznaczy ponowny termin odbioru ostatecznego robót. Wszystkie zarządzone przez komisję roboty poprawkowe lub uzupełniające będą zestawione wg wzoru ustalonego przez Zamawiającego. Termin wykonania robot poprawkowych i robót uzupełniających wyznaczy komisja i stwierdzi ich wykonanie. </w:t>
      </w:r>
    </w:p>
    <w:p w14:paraId="1E098979">
      <w:pPr>
        <w:spacing w:before="0" w:after="15"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07C4213">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8.5. Odbiór pogwarancyjny po upływie okresu rękojmi i gwarancji </w:t>
      </w:r>
    </w:p>
    <w:p w14:paraId="23620711">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7D8A055">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Odbiór pogwarancyjny po upływie okresu rękojmi i gwarancji polega na ocenie wykonanych robót związanych z usunięciem wad, które ujawnią się w okresie rękojmi i gwarancji gwarancyjnym i rękojmi. Odbiór po upływie okresu rękojmi i gwarancji pogwarancyjny będzie dokonany na podstawie oceny wizualnej obiektu z uwzględnieniem zasad opisanych w punkcie 8.4. „Odbiór ostateczny robót(końcowy) robót”. </w:t>
      </w:r>
    </w:p>
    <w:p w14:paraId="57D65486">
      <w:pPr>
        <w:spacing w:before="0" w:after="3"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7982B2F">
      <w:pPr>
        <w:keepNext/>
        <w:keepLines/>
        <w:spacing w:before="0" w:after="5" w:line="252" w:lineRule="exact"/>
        <w:ind w:left="490" w:right="0" w:hanging="10"/>
        <w:jc w:val="both"/>
        <w:rPr>
          <w:rFonts w:ascii="Arial" w:hAnsi="Arial" w:eastAsia="Arial" w:cs="Arial"/>
          <w:b/>
          <w:color w:val="000000"/>
          <w:spacing w:val="0"/>
          <w:sz w:val="20"/>
          <w:highlight w:val="white"/>
        </w:rPr>
      </w:pPr>
      <w:r>
        <w:rPr>
          <w:rFonts w:ascii="Arial" w:hAnsi="Arial" w:eastAsia="Arial" w:cs="Arial"/>
          <w:b/>
          <w:color w:val="000000"/>
          <w:spacing w:val="0"/>
          <w:sz w:val="20"/>
          <w:shd w:val="clear" w:fill="FFFFFF"/>
        </w:rPr>
        <w:t xml:space="preserve">9. STB 00.09  PODSTAWA PŁATNOŚCI </w:t>
      </w:r>
    </w:p>
    <w:p w14:paraId="108E930C">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38A6924">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9.1. Ustalenia ogólne </w:t>
      </w:r>
    </w:p>
    <w:p w14:paraId="53C5EF44">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831E090">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Dla robot rozliczanych kosztorysem powykonawczym, podstawą płatności jest cena jednostkowa skalkulowana przez wykonawcę za jednostkę obmiarową ustaloną dla danej pozycji kosztorysu przyjętą przez Zamawiającego dokumentach umownych – kosztorys ofertowy. Dla robót rozliczanych ryczałtowo podstawą płatności jest wartość (kwota) podana przez Wykonawcę i przyjęta przez Zamawiającego w dokumentach umownych (druk oferta). Cena jednostkowa pozycji kosztorysowej lub wynagrodzenie ryczałtowe będzie uwzględniać wszystkie czynności, wymagania i badania składające się na jej wykonanie, określone dla tej roboty w SST i w dokumentacji projektowej. </w:t>
      </w:r>
    </w:p>
    <w:p w14:paraId="75567331">
      <w:pPr>
        <w:spacing w:before="0" w:after="26"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Ceny jednostkowe lub wynagrodzenie ryczałtowe robot będą obejmować: </w:t>
      </w:r>
    </w:p>
    <w:p w14:paraId="6484F7C7">
      <w:pPr>
        <w:numPr>
          <w:ilvl w:val="0"/>
          <w:numId w:val="36"/>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robociznę bezpośrednią wraz z narzutami, </w:t>
      </w:r>
    </w:p>
    <w:p w14:paraId="4BD18D64">
      <w:pPr>
        <w:numPr>
          <w:ilvl w:val="0"/>
          <w:numId w:val="36"/>
        </w:numPr>
        <w:spacing w:before="0" w:after="2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wartość zużytych materiałów wraz z kosztami zakupu, magazynowania, ewentualnych ubytków i transportu na teren budowy, </w:t>
      </w:r>
    </w:p>
    <w:p w14:paraId="054E2963">
      <w:pPr>
        <w:numPr>
          <w:ilvl w:val="0"/>
          <w:numId w:val="36"/>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wartość pracy sprzętu wraz z narzutami, </w:t>
      </w:r>
    </w:p>
    <w:p w14:paraId="737C5580">
      <w:pPr>
        <w:numPr>
          <w:ilvl w:val="0"/>
          <w:numId w:val="36"/>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koszty pośrednie i zysk kalkulacyjny, </w:t>
      </w:r>
    </w:p>
    <w:p w14:paraId="46B95D30">
      <w:pPr>
        <w:numPr>
          <w:ilvl w:val="0"/>
          <w:numId w:val="36"/>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podatki obliczone zgodnie z obowiązującymi przepisami, ale z wyłączeniem podatku VAT. </w:t>
      </w:r>
    </w:p>
    <w:p w14:paraId="18E32173">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CECF915">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9.2. Objazdy, przejazdy i organizacja ruchu </w:t>
      </w:r>
    </w:p>
    <w:p w14:paraId="4AE361D8">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8CC1972">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9.2.1. Koszt wybudowania objazdów/przejazdów i organizacji ruchu obejmuje </w:t>
      </w:r>
    </w:p>
    <w:p w14:paraId="3A5C9C2D">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04BB661">
      <w:pPr>
        <w:numPr>
          <w:ilvl w:val="0"/>
          <w:numId w:val="37"/>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opracowanie oraz uzgodnienie z Inspektorami nadzoru i odpowiedzialnymi instytucjami projektu organizacji ruchu na czas trwania budowy, wraz z dostarczeniem kopii projektu Inspektorowi nadzoru i </w:t>
      </w:r>
    </w:p>
    <w:p w14:paraId="0399B8C7">
      <w:pPr>
        <w:numPr>
          <w:ilvl w:val="0"/>
          <w:numId w:val="37"/>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wprowadzaniem dalszych zmian i uzgodnień wynikających z postępu robót, </w:t>
      </w:r>
    </w:p>
    <w:p w14:paraId="31EA606A">
      <w:pPr>
        <w:numPr>
          <w:ilvl w:val="0"/>
          <w:numId w:val="37"/>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ustawienie tymczasowego oznakowania i oświetlenia zgodnie z wymaganiami bezpieczeństwa ruchu, </w:t>
      </w:r>
    </w:p>
    <w:p w14:paraId="6086CB88">
      <w:pPr>
        <w:numPr>
          <w:ilvl w:val="0"/>
          <w:numId w:val="37"/>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opłaty/dzierżawy terenu, </w:t>
      </w:r>
    </w:p>
    <w:p w14:paraId="1BAC94D7">
      <w:pPr>
        <w:numPr>
          <w:ilvl w:val="0"/>
          <w:numId w:val="37"/>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przygotowanie terenu, </w:t>
      </w:r>
    </w:p>
    <w:p w14:paraId="1B61E386">
      <w:pPr>
        <w:numPr>
          <w:ilvl w:val="0"/>
          <w:numId w:val="37"/>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konstrukcję tymczasowej nawierzchni, ramp, chodników, krawężników, barier, oznakowań i drenażu, </w:t>
      </w:r>
    </w:p>
    <w:p w14:paraId="5AD3457B">
      <w:pPr>
        <w:numPr>
          <w:ilvl w:val="0"/>
          <w:numId w:val="37"/>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tymczasową przebudowę urządzeń obcych. </w:t>
      </w:r>
    </w:p>
    <w:p w14:paraId="6E2F4CE1">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A6E1300">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9.2.2. Koszt utrzymania objazdów/przejazdów i organizacji ruchu obejmuje: </w:t>
      </w:r>
    </w:p>
    <w:p w14:paraId="464960E9">
      <w:pPr>
        <w:spacing w:before="0" w:after="9"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744BC7A">
      <w:pPr>
        <w:numPr>
          <w:ilvl w:val="0"/>
          <w:numId w:val="38"/>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oczyszczanie, przestawienie, przykrycie i usunięcie tymczasowych oznakowań pionowych, poziomych, barier świateł, </w:t>
      </w:r>
    </w:p>
    <w:p w14:paraId="0A648CC1">
      <w:pPr>
        <w:numPr>
          <w:ilvl w:val="0"/>
          <w:numId w:val="38"/>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utrzymanie płynności ruchu publicznego. </w:t>
      </w:r>
    </w:p>
    <w:p w14:paraId="46D8E17E">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49D9201">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9.2.3. Koszt likwidacji objazdów/przejazdów i organizacji ruchu obejmuje: </w:t>
      </w:r>
    </w:p>
    <w:p w14:paraId="3107B2CA">
      <w:pPr>
        <w:spacing w:before="0" w:after="4"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694F6DD4">
      <w:pPr>
        <w:numPr>
          <w:ilvl w:val="0"/>
          <w:numId w:val="39"/>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usunięcie wbudowanych materiałów i oznakowania, </w:t>
      </w:r>
    </w:p>
    <w:p w14:paraId="54FBDF31">
      <w:pPr>
        <w:numPr>
          <w:ilvl w:val="0"/>
          <w:numId w:val="39"/>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doprowadzenie terenu do stanu pierwotnego. </w:t>
      </w:r>
    </w:p>
    <w:p w14:paraId="0B935815">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291FD96">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9.2.4. Koszt budowy, utrzymania i likwidacji objazdów, przejazdów i organizacji ruchu ponosi strona uzgodniona w zapisie SIWZ lub projekcie umowy. </w:t>
      </w:r>
    </w:p>
    <w:p w14:paraId="1B31AED7">
      <w:pPr>
        <w:spacing w:before="0" w:after="2"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E9331F0">
      <w:pPr>
        <w:keepNext/>
        <w:keepLines/>
        <w:spacing w:before="0" w:after="5" w:line="252" w:lineRule="exact"/>
        <w:ind w:left="490" w:right="0" w:hanging="10"/>
        <w:jc w:val="both"/>
        <w:rPr>
          <w:rFonts w:ascii="Arial" w:hAnsi="Arial" w:eastAsia="Arial" w:cs="Arial"/>
          <w:b/>
          <w:color w:val="000000"/>
          <w:spacing w:val="0"/>
          <w:sz w:val="20"/>
          <w:highlight w:val="white"/>
        </w:rPr>
      </w:pPr>
      <w:r>
        <w:rPr>
          <w:rFonts w:ascii="Arial" w:hAnsi="Arial" w:eastAsia="Arial" w:cs="Arial"/>
          <w:b/>
          <w:color w:val="000000"/>
          <w:spacing w:val="0"/>
          <w:sz w:val="20"/>
          <w:shd w:val="clear" w:fill="FFFFFF"/>
        </w:rPr>
        <w:t xml:space="preserve">10. STB 00.10 PRZEPISY ZWIĄZANE </w:t>
      </w:r>
    </w:p>
    <w:p w14:paraId="3BD52296">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D59352E">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10.1. Ustawy </w:t>
      </w:r>
    </w:p>
    <w:p w14:paraId="26971C24">
      <w:pPr>
        <w:numPr>
          <w:ilvl w:val="0"/>
          <w:numId w:val="40"/>
        </w:numPr>
        <w:spacing w:before="0" w:after="5" w:line="267" w:lineRule="exact"/>
        <w:ind w:left="840" w:right="10" w:hanging="360"/>
        <w:jc w:val="both"/>
      </w:pPr>
      <w:r>
        <w:rPr>
          <w:rFonts w:ascii="Arial" w:hAnsi="Arial" w:eastAsia="Arial" w:cs="Arial"/>
          <w:color w:val="000000"/>
          <w:spacing w:val="0"/>
          <w:sz w:val="20"/>
          <w:shd w:val="clear" w:fill="FFFFFF"/>
        </w:rPr>
        <w:t xml:space="preserve">Ustawa z dnia 7 lipca 1994 r. - Prawo budowlane (jednolity tekst Dz. U. z 2020 r.  poz. 1333 z późn. zm.) </w:t>
      </w:r>
    </w:p>
    <w:p w14:paraId="046026F6">
      <w:pPr>
        <w:numPr>
          <w:ilvl w:val="0"/>
          <w:numId w:val="40"/>
        </w:numPr>
        <w:spacing w:before="0" w:after="5" w:line="267" w:lineRule="exact"/>
        <w:ind w:left="840" w:right="10" w:hanging="360"/>
        <w:jc w:val="both"/>
      </w:pPr>
      <w:r>
        <w:rPr>
          <w:rFonts w:ascii="Arial" w:hAnsi="Arial" w:eastAsia="Arial" w:cs="Arial"/>
          <w:color w:val="000000"/>
          <w:spacing w:val="0"/>
          <w:sz w:val="20"/>
          <w:shd w:val="clear" w:fill="FFFFFF"/>
        </w:rPr>
        <w:t xml:space="preserve">Ustawa z dnia 11 września 2019 r. - Prawo zamówień publicznych (Dz. U. Z 2019  poz. 2019). </w:t>
      </w:r>
    </w:p>
    <w:p w14:paraId="51ED2F73">
      <w:pPr>
        <w:numPr>
          <w:ilvl w:val="0"/>
          <w:numId w:val="40"/>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Ustawa z dnia 16 kwietnia 2004 r. - o wyborach budowlanych (Dz. U. Nr 92, poz. 881). </w:t>
      </w:r>
    </w:p>
    <w:p w14:paraId="1BDEE32F">
      <w:pPr>
        <w:numPr>
          <w:ilvl w:val="0"/>
          <w:numId w:val="40"/>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Ustawa z dnia 24 sierpnia 1991 r. - o ochronie przeciwpożarowej (jednolity tekst Dz. U. z 2002r. Nr 147, poz. 1229). </w:t>
      </w:r>
    </w:p>
    <w:p w14:paraId="2FCA2793">
      <w:pPr>
        <w:numPr>
          <w:ilvl w:val="0"/>
          <w:numId w:val="40"/>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Ustawa z dnia 21 grudnia 20004 r. - o dozorze technicznym (Dz. U. Nr 122, poz. 1321 z późn. zm.). </w:t>
      </w:r>
    </w:p>
    <w:p w14:paraId="23072C9F">
      <w:pPr>
        <w:numPr>
          <w:ilvl w:val="0"/>
          <w:numId w:val="40"/>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Ustawa z dnia 27 kwietnia 2001 r. - Prawo ochrony środowiska (Dz. U. Nr 62, poz. 627 z późn. zm.) </w:t>
      </w:r>
    </w:p>
    <w:p w14:paraId="44F395FD">
      <w:pPr>
        <w:numPr>
          <w:ilvl w:val="0"/>
          <w:numId w:val="40"/>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Ustawa z dnia 21 marca 1985 r. - o drogach publicznych (jednolity tekst Dz. U. z 2004 r. Nr 204, poz. 2086). </w:t>
      </w:r>
    </w:p>
    <w:p w14:paraId="6E85CF59">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B1FD99F">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10.2. Rozporządzenia </w:t>
      </w:r>
    </w:p>
    <w:p w14:paraId="7F189882">
      <w:pPr>
        <w:numPr>
          <w:ilvl w:val="0"/>
          <w:numId w:val="41"/>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Rozporządzenie Ministra Infrastruktury z dnia 2 grudnia 2002 r. - w sprawie systemów oceny zgodności wyrobów budowlanych oraz sposobu ich oznaczania znakowaniem CE (Dz. U. Nr 209, poz. 1779). </w:t>
      </w:r>
    </w:p>
    <w:p w14:paraId="27EDB9F1">
      <w:pPr>
        <w:numPr>
          <w:ilvl w:val="0"/>
          <w:numId w:val="41"/>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Rozporządzenie Ministra Infrastruktury z dnia 2 grudnia 2002 r. - w sprawie określenia polskich jednostek organizacyjnych upoważnionych do wydawania europejskich aprobat technicznych, zakresu i formy aprobat oraz trybu ich udzielania, uchylania lub zmiany (Dz. U. Nr 209, poz. 1780). </w:t>
      </w:r>
    </w:p>
    <w:p w14:paraId="172AE064">
      <w:pPr>
        <w:numPr>
          <w:ilvl w:val="0"/>
          <w:numId w:val="41"/>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Rozporządzenie Ministra Pracy i Polityki Społecznej z dnia 26 września 1997 r. - w sprawie ogólnych przepisów bezpieczeństwa i higieny pracy (Dz. U. Nr 169, poz. 1650). </w:t>
      </w:r>
    </w:p>
    <w:p w14:paraId="349EF188">
      <w:pPr>
        <w:numPr>
          <w:ilvl w:val="0"/>
          <w:numId w:val="41"/>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Rozporządzenie Ministra Infrastruktury z dnia 6 lutego 2003 r. - w sprawie bezpieczeństwa i higieny pracy podczas wykonywania robot budowlanych (Dz. U. Nr 47, poz. 401). </w:t>
      </w:r>
    </w:p>
    <w:p w14:paraId="5D3467D4">
      <w:pPr>
        <w:numPr>
          <w:ilvl w:val="0"/>
          <w:numId w:val="41"/>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Rozporządzenie Ministra Infrastruktury z dnia 23 czerwca 2003 r. - w sprawie informacji dotyczącej bezpieczeństwa i ochrony zdrowia oraz planu bezpieczeństwa i ochrony zdrowia (Dz. U. Nr 120, poz. 1126). </w:t>
      </w:r>
    </w:p>
    <w:p w14:paraId="5BD70D1E">
      <w:pPr>
        <w:numPr>
          <w:ilvl w:val="0"/>
          <w:numId w:val="41"/>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Rozporządzenie Ministra Infrastruktury z dnia 2 września 2004 r. - w sprawie szczegółowego zakresu i formy dokumentacji projektowej, specyfikacji technicznych wykonania i odbioru robót budowlanych oraz programu funkcjonalno-użytkowego (Dz. U. Nr 202, poz. 2072). </w:t>
      </w:r>
    </w:p>
    <w:p w14:paraId="391E57BE">
      <w:pPr>
        <w:numPr>
          <w:ilvl w:val="0"/>
          <w:numId w:val="41"/>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Rozporządzenie Ministra Infrastruktury z dnia 11 sierpnia 2004 r. - w sprawie sposobów deklarowania wyrobów budowlanych oraz sposobu znakowania ich znakiem budowlanym (Dz. U. Nr 198, poz. 2041). </w:t>
      </w:r>
    </w:p>
    <w:p w14:paraId="44C53DC7">
      <w:pPr>
        <w:numPr>
          <w:ilvl w:val="0"/>
          <w:numId w:val="41"/>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Rozporządzenie Ministra Infrastruktury z dnia 27 sierpnia 2004 r. - zmieniające rozporządzenie w sprawie dziennika budowy, montażu i rozbiórki, tablicy informacyjnej oraz ogłoszenia zamawiającego dane dotyczące bezpieczeństwa pracy i ochrony zdrowia (Dz. U. Nr 198, poz. 2042) i) Inne dokumenty i instrukcje </w:t>
      </w:r>
    </w:p>
    <w:p w14:paraId="65DBAF0B">
      <w:pPr>
        <w:numPr>
          <w:ilvl w:val="0"/>
          <w:numId w:val="41"/>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Warunki techniczne wykonania i odbioru robót budowlano-montażowych, (tom I, II, III, IV, V) Arkady, Warszawa 1989-1990. </w:t>
      </w:r>
    </w:p>
    <w:p w14:paraId="29346DFE">
      <w:pPr>
        <w:numPr>
          <w:ilvl w:val="0"/>
          <w:numId w:val="41"/>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Warunki techniczne wykonania i odbioru robót budowlanych. Instytut Techniki Budowlanej, Warszawa 2003. </w:t>
      </w:r>
    </w:p>
    <w:p w14:paraId="75E42C53">
      <w:pPr>
        <w:numPr>
          <w:ilvl w:val="0"/>
          <w:numId w:val="0"/>
        </w:numPr>
        <w:spacing w:before="0" w:after="5" w:line="267" w:lineRule="exact"/>
        <w:ind w:left="1200" w:right="10" w:firstLine="0"/>
        <w:jc w:val="both"/>
        <w:rPr>
          <w:rFonts w:ascii="Arial" w:hAnsi="Arial" w:eastAsia="Arial" w:cs="Arial"/>
          <w:color w:val="000000"/>
          <w:spacing w:val="0"/>
          <w:sz w:val="20"/>
          <w:highlight w:val="white"/>
        </w:rPr>
      </w:pPr>
    </w:p>
    <w:p w14:paraId="72DCBA5C">
      <w:pPr>
        <w:spacing w:before="0" w:after="0" w:line="259" w:lineRule="exact"/>
        <w:ind w:left="495" w:right="0" w:firstLine="0"/>
        <w:jc w:val="left"/>
      </w:pPr>
      <w:r>
        <w:rPr>
          <w:rFonts w:ascii="Arial" w:hAnsi="Arial" w:eastAsia="Arial" w:cs="Arial"/>
          <w:color w:val="000000"/>
          <w:spacing w:val="0"/>
          <w:sz w:val="20"/>
          <w:shd w:val="clear" w:fill="FFFFFF"/>
        </w:rPr>
        <w:t xml:space="preserve"> </w:t>
      </w:r>
    </w:p>
    <w:p w14:paraId="6B7736F9">
      <w:pPr>
        <w:spacing w:before="0" w:after="0" w:line="259" w:lineRule="exact"/>
        <w:ind w:left="495" w:right="0" w:firstLine="0"/>
        <w:jc w:val="left"/>
      </w:pPr>
      <w:r>
        <w:rPr>
          <w:rFonts w:ascii="Arial" w:hAnsi="Arial" w:eastAsia="Arial" w:cs="Arial"/>
          <w:color w:val="000000"/>
          <w:spacing w:val="0"/>
          <w:sz w:val="20"/>
          <w:shd w:val="clear" w:fill="FFFFFF"/>
        </w:rPr>
        <w:t xml:space="preserve"> </w:t>
      </w:r>
      <w:r>
        <w:rPr>
          <w:rFonts w:ascii="Arial" w:hAnsi="Arial" w:eastAsia="Arial" w:cs="Arial"/>
          <w:b/>
          <w:bCs/>
          <w:color w:val="000000"/>
          <w:spacing w:val="0"/>
          <w:sz w:val="20"/>
          <w:szCs w:val="20"/>
          <w:shd w:val="clear" w:fill="FFFFFF"/>
        </w:rPr>
        <w:t>STB 01.01 ROBOTY ROZBIÓRKOWE</w:t>
      </w:r>
      <w:r>
        <w:rPr>
          <w:rFonts w:ascii="Arial" w:hAnsi="Arial" w:eastAsia="Arial" w:cs="Arial"/>
          <w:b/>
          <w:color w:val="000000"/>
          <w:spacing w:val="0"/>
          <w:sz w:val="20"/>
          <w:szCs w:val="20"/>
          <w:shd w:val="clear" w:fill="FFFFFF"/>
        </w:rPr>
        <w:t xml:space="preserve">  kod CPV: 45000000-7; </w:t>
      </w:r>
    </w:p>
    <w:p w14:paraId="20BF55C5">
      <w:pPr>
        <w:spacing w:before="0" w:after="12"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4B3D169">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1.1 Wstęp: </w:t>
      </w:r>
    </w:p>
    <w:p w14:paraId="7B940CE3">
      <w:pPr>
        <w:spacing w:before="0" w:after="11"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276B76D">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Przedmiot specyfikacji. Przedmiotem ST są wymagania dotyczące wykonania i odbioru robót związanych z rozbiórką, wyburzeniem i demontażem elementów konstrukcyjnych i wykończeniowych. Specyfikacja niniejsza jest dokumentem pomocniczym przy realizacji i odbiorze robót. </w:t>
      </w:r>
    </w:p>
    <w:p w14:paraId="0751CD4A">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CDD4C08">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Zakres stosowania specyfikacji. Specyfikacja Techniczna jest stosowana jako dokument kontraktowy przy zlecaniu i realizacji Robót opisanych w przedmiocie specyfikacji. </w:t>
      </w:r>
    </w:p>
    <w:p w14:paraId="6B806840">
      <w:pPr>
        <w:spacing w:before="0" w:after="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43BB0C3">
      <w:pPr>
        <w:spacing w:before="0" w:after="5" w:line="267" w:lineRule="exact"/>
        <w:ind w:left="490" w:right="10" w:hanging="10"/>
        <w:jc w:val="both"/>
      </w:pPr>
      <w:r>
        <w:rPr>
          <w:rFonts w:ascii="Arial" w:hAnsi="Arial" w:eastAsia="Arial" w:cs="Arial"/>
          <w:color w:val="000000"/>
          <w:spacing w:val="0"/>
          <w:sz w:val="20"/>
          <w:shd w:val="clear" w:fill="FFFFFF"/>
        </w:rPr>
        <w:t xml:space="preserve">Zakres robót objętych specyfikacją. Ustalenia zawarte w niniejszej specyfikacji dotyczą zasad prowadzenia robót związanych z rozbiórką </w:t>
      </w:r>
      <w:r>
        <w:rPr>
          <w:rFonts w:hint="default" w:ascii="Arial" w:hAnsi="Arial" w:eastAsia="Arial" w:cs="Arial"/>
          <w:color w:val="000000"/>
          <w:spacing w:val="0"/>
          <w:sz w:val="20"/>
          <w:shd w:val="clear" w:fill="FFFFFF"/>
          <w:lang w:val="pl-PL"/>
        </w:rPr>
        <w:t>Pokrycia dachowego i łacenia</w:t>
      </w:r>
      <w:r>
        <w:rPr>
          <w:rFonts w:ascii="Arial" w:hAnsi="Arial" w:eastAsia="Arial" w:cs="Arial"/>
          <w:color w:val="000000"/>
          <w:spacing w:val="0"/>
          <w:sz w:val="20"/>
          <w:shd w:val="clear" w:fill="FFFFFF"/>
        </w:rPr>
        <w:t xml:space="preserve">. Prace rozbiórkowe obejmują wykonanie demontażu: rozbiórkę pokrycia dachu, łacenia, orynnowania, obróbek blacharskich. </w:t>
      </w:r>
    </w:p>
    <w:p w14:paraId="62F64675">
      <w:pPr>
        <w:spacing w:before="0" w:after="17"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989709B">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Etapy prac rozbiórkowych. </w:t>
      </w:r>
    </w:p>
    <w:p w14:paraId="5C747BA0">
      <w:pPr>
        <w:spacing w:before="0" w:after="11"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3167029">
      <w:pPr>
        <w:numPr>
          <w:ilvl w:val="0"/>
          <w:numId w:val="42"/>
        </w:numPr>
        <w:spacing w:before="0" w:after="5" w:line="267" w:lineRule="exact"/>
        <w:ind w:left="840" w:right="10" w:hanging="360"/>
        <w:jc w:val="both"/>
      </w:pPr>
      <w:r>
        <w:rPr>
          <w:rFonts w:ascii="Arial" w:hAnsi="Arial" w:eastAsia="Arial" w:cs="Arial"/>
          <w:color w:val="000000"/>
          <w:spacing w:val="0"/>
          <w:sz w:val="20"/>
          <w:shd w:val="clear" w:fill="FFFFFF"/>
        </w:rPr>
        <w:t xml:space="preserve">Usunięcie wszelkich instalacji elektrycznych i innych rozprowadzonych w obiekcie z zachowaniem  przepisów BHP. </w:t>
      </w:r>
    </w:p>
    <w:p w14:paraId="3E75A0FF">
      <w:pPr>
        <w:numPr>
          <w:ilvl w:val="0"/>
          <w:numId w:val="42"/>
        </w:numPr>
        <w:spacing w:before="0" w:after="5" w:line="267" w:lineRule="exact"/>
        <w:ind w:left="840" w:right="10" w:hanging="360"/>
        <w:jc w:val="both"/>
      </w:pPr>
      <w:r>
        <w:rPr>
          <w:rFonts w:ascii="Arial" w:hAnsi="Arial" w:eastAsia="Arial" w:cs="Arial"/>
          <w:color w:val="000000"/>
          <w:spacing w:val="0"/>
          <w:sz w:val="20"/>
          <w:shd w:val="clear" w:fill="FFFFFF"/>
        </w:rPr>
        <w:t xml:space="preserve">Rozbiórka pokrycia dachowego, łat drewnianych i poszycia  dachowego. </w:t>
      </w:r>
    </w:p>
    <w:p w14:paraId="7ABF9267">
      <w:pPr>
        <w:numPr>
          <w:ilvl w:val="0"/>
          <w:numId w:val="42"/>
        </w:numPr>
        <w:spacing w:before="0" w:after="5" w:line="267" w:lineRule="exact"/>
        <w:ind w:left="840" w:right="10" w:hanging="360"/>
        <w:jc w:val="both"/>
      </w:pPr>
      <w:r>
        <w:rPr>
          <w:rFonts w:ascii="Arial" w:hAnsi="Arial" w:eastAsia="Arial" w:cs="Arial"/>
          <w:color w:val="000000"/>
          <w:spacing w:val="0"/>
          <w:sz w:val="20"/>
          <w:shd w:val="clear" w:fill="FFFFFF"/>
        </w:rPr>
        <w:t>rozbiórka podbitki.</w:t>
      </w:r>
    </w:p>
    <w:p w14:paraId="4E335602">
      <w:pPr>
        <w:numPr>
          <w:ilvl w:val="0"/>
          <w:numId w:val="42"/>
        </w:numPr>
        <w:spacing w:before="0" w:after="5" w:line="267" w:lineRule="exact"/>
        <w:ind w:left="840" w:right="10" w:hanging="360"/>
        <w:jc w:val="both"/>
      </w:pPr>
      <w:r>
        <w:rPr>
          <w:rFonts w:ascii="Arial" w:hAnsi="Arial" w:eastAsia="Arial" w:cs="Arial"/>
          <w:color w:val="000000"/>
          <w:spacing w:val="0"/>
          <w:sz w:val="20"/>
          <w:shd w:val="clear" w:fill="FFFFFF"/>
        </w:rPr>
        <w:t>Rozbiórka orynnowania wraz z obróbkami blacharskimi</w:t>
      </w:r>
    </w:p>
    <w:p w14:paraId="59D4192B">
      <w:pPr>
        <w:spacing w:before="0" w:after="15" w:line="259" w:lineRule="exact"/>
        <w:ind w:left="85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29E986A">
      <w:pPr>
        <w:spacing w:before="0" w:after="13" w:line="259" w:lineRule="exact"/>
        <w:ind w:left="495" w:right="0" w:firstLine="0"/>
        <w:jc w:val="left"/>
        <w:rPr>
          <w:rFonts w:ascii="Arial" w:hAnsi="Arial" w:eastAsia="Arial" w:cs="Arial"/>
          <w:color w:val="000000"/>
          <w:spacing w:val="0"/>
          <w:sz w:val="20"/>
          <w:highlight w:val="white"/>
        </w:rPr>
      </w:pPr>
    </w:p>
    <w:p w14:paraId="217B31A8">
      <w:pPr>
        <w:numPr>
          <w:ilvl w:val="0"/>
          <w:numId w:val="43"/>
        </w:numPr>
        <w:spacing w:before="0" w:after="5" w:line="267" w:lineRule="exact"/>
        <w:ind w:left="813" w:right="10" w:hanging="33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Materiały </w:t>
      </w:r>
    </w:p>
    <w:p w14:paraId="24DF0F72">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689DECA2">
      <w:pPr>
        <w:spacing w:before="0" w:after="5" w:line="267" w:lineRule="exact"/>
        <w:ind w:left="490" w:right="10" w:hanging="10"/>
        <w:jc w:val="both"/>
      </w:pPr>
      <w:r>
        <w:rPr>
          <w:rFonts w:ascii="Arial" w:hAnsi="Arial" w:eastAsia="Arial" w:cs="Arial"/>
          <w:color w:val="000000"/>
          <w:spacing w:val="0"/>
          <w:sz w:val="20"/>
          <w:shd w:val="clear" w:fill="FFFFFF"/>
        </w:rPr>
        <w:t xml:space="preserve">Dla robót w/w istotne materiały nie występują. Wszystkie materiały z rozbiórki takie jak:  deski, elementy drewniane i drewnopochodne, elementy metalowe (złom stalowy i kolorowy), materiały bitumiczne, winny być na bieżąco wynoszone poza obręb budynku, zabezpieczone i składowane, następnie odebrane przez odpowiednie jednostki specjalizujące się utylizacją odpadów. </w:t>
      </w:r>
    </w:p>
    <w:p w14:paraId="26910A58">
      <w:pPr>
        <w:spacing w:before="0" w:after="12"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C11D17A">
      <w:pPr>
        <w:numPr>
          <w:ilvl w:val="0"/>
          <w:numId w:val="44"/>
        </w:numPr>
        <w:spacing w:before="0" w:after="5" w:line="267" w:lineRule="exact"/>
        <w:ind w:left="813" w:right="10" w:hanging="33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Sprzęt </w:t>
      </w:r>
    </w:p>
    <w:p w14:paraId="5FF8758A">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Rodzaje sprzętu używanego do robót rozbiórkowych oraz szalowań pozostawia się do uznania wykonawcy, po uzgodnieniu z inspektorem nadzoru budowlanego. Jakikolwiek sprzęt, maszyny lub narzędzia nie gwarantujące zachowania wymagań jakościowych robót i przepisów BIOZ zostaną przez zarządzającego realizacją umowy zdyskwalifikowane i niedopuszczone. Do robót może być użyty dowolny sprzęt gwarantujący prawidłowe i bezpieczne wykonanie robót tj: łomy, kilofy, oskardy, młoty, łopaty, szufle, wiadra, taczki, piły do metalu i drewna, piły elektryczne, piły diamentowe, siekierki, młotki, klucze, liny, młoty pneumatyczne, wiertarki, palnik acetylenowo-tlenowy, żuraw samojezdny, wciągarki ręczne i elektryczne, rusztowania systemowe i pomosty wewnętrzne. </w:t>
      </w:r>
    </w:p>
    <w:p w14:paraId="7335B8B9">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294BF60">
      <w:pPr>
        <w:numPr>
          <w:ilvl w:val="0"/>
          <w:numId w:val="45"/>
        </w:numPr>
        <w:spacing w:before="0" w:after="5" w:line="267" w:lineRule="exact"/>
        <w:ind w:left="813" w:right="10" w:hanging="33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Transport </w:t>
      </w:r>
    </w:p>
    <w:p w14:paraId="1FCFFEE6">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Samochód wywrotka, taczki, dźwig pionowy, transport ręczny. Odwiezienie drewna, złomu, szkła i gruzu na odpowiednie składowiska. Nie należy używać gruzu do ponownego użycia w podłożu posadzek. Transport drewna do fumigacji. </w:t>
      </w:r>
    </w:p>
    <w:p w14:paraId="41733C76">
      <w:pPr>
        <w:spacing w:before="0" w:after="16"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FA85ACB">
      <w:pPr>
        <w:numPr>
          <w:ilvl w:val="0"/>
          <w:numId w:val="46"/>
        </w:numPr>
        <w:spacing w:before="0" w:after="5" w:line="267" w:lineRule="exact"/>
        <w:ind w:left="813" w:right="10" w:hanging="333"/>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Wykonywanie robót </w:t>
      </w:r>
    </w:p>
    <w:p w14:paraId="54EFB295">
      <w:pPr>
        <w:spacing w:before="0" w:after="11"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F5AFA2E">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Zasady ogólne </w:t>
      </w:r>
    </w:p>
    <w:p w14:paraId="4162C148">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Roboty rozbiórkowe prowadzić zgodnie z rozporządzeniem Ministra Infrastruktury z dnia 06.02.2003r. (Dz. </w:t>
      </w:r>
    </w:p>
    <w:p w14:paraId="087C8C31">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U. Nr 47 poz. 401) w sprawie bezpieczeństwa i higieny pracy podczas wykonywania robót budowlanych. Przed przystąpieniem do tych robót należy przeprowadzić dokładne rozeznanie budynku i otaczającego terenu oraz dokumentacji rozbiórkowej. Przed przystąpieniem do robót należy wykonać wszystkie niezbędne zabezpieczenia, jak oznakowanie i ogrodzenie terenu robót, zgromadzenie potrzebnych narzędzi i sprzętu oraz wykonanie odpowiednich urządzeń do usuwania z budynku materiałów z rozbiórki. Pracownicy zatrudnieni przy robotach rozbiórkowych powinni być dokładnie zaznajomieni z zakresem prac. Przy pracach rozbiórkowych i wyburzeniowych mają zastosowanie ogólnie obowiązujące przepisy bezpieczeństwa i higieny pracy w robotach budowlanych. W celu zapewnienia bezpieczeństwa robót rozbiórkowych wszystkie przejścia, pomosty i inne niebezpieczne miejsca powinno się zabezpieczyć odpowiednio umocowanymi barierami, a pomosty zaopatrzyć w listwy obrzeże. Pracowników zatrudnionych przy robotach rozbiórkowych powinno się zaopatrzyć w odzież roboczą, hełmy, okulary i rękawice. Wszystkie narzędzia używane przy rozbiórce stale utrzymywać w dobrym stanie. Przy robotach rozbiórkowych należy uwzględniać wpływ warunków atmosferycznych na bezpieczeństwo pracy. Podczas deszczu, śniegu i silnego wiatru nie wolno prowadzić robót na ścianach i innych wysokich konstrukcjach. Do usuwania gruzu należy stosować zsypy (rynny). Gruz nie może być gromadzony na stropach, balkonach, schodach itp. Znajdujące się w pobliżu rozbieranego budynku urządzenia użyteczności publicznej, latarnie, słupy z przewodami, drzewa itp. należy zabezpieczyć przed uszkodzeniami. Wszystkie przejścia i przejazdy znajdujące się w zasięgu robót rozbiórkowych powinno się zabezpieczyć lub wytyczyć drogi, a obejścia i objazdy wyraźnie oznakować. Wszystkich robotników pracujących na wysokości powyżej 4 m należy zabezpieczyć pasami ochronnymi na linach umocowanych do trwałych elementów budynku. W razie przewracania ścian należy odpowiednio zabezpieczyć teren, przy czym podcinanie i podkopywanie ścian dla ich przewrócenia jest zabronione. Po wykruszeniu betonu przy podporach elementów żelbetowych zbrojenie przecina się palnikami acetylenowymi.  Elementy konstrukcji stalowych rozbiera się przez cięcie palnikami acetylenowymi. Elementy instalacji usunąć przed dalszymi pracami. Przed demontażem okien i drzwi należy dokonać ich przeglądu w celu ustalenia, czy i które mogą nadawać się do dalszego wykorzystania. Okna i drzwi będące w dobrym stanie należy przed demontażem zabezpieczyć. Gdyby wyjęcie z murów skrzydeł okiennych i drzwiowych łącznie z ościeżnicami było niemożliwe, należy je oznaczyć, po zdemontowaniu skrzydeł wymontować ze ścian ościeżnice i po ponownym złożeniu zmagazynować. Przy ścianach drewnianych, gdy ościeżnice są połączone z elementami ściany, oraz przy ścianach murowanych, w których na skutek ich uszkodzeń ościeżnice stanowią częściową ich podporę demontaż ościeżnic odbywa się łącznie z rozbiórką tych ścian. Rozbiórki murowanych ścianek działowych nie można wykonywać przez przewracanie ich na strop, gdyż może to spowodować zawalenie się zarówno tego stropu, jak i pozostałych stropów, znajdujących się poniżej, co może stać się przyczyną runięcia całego budynku. Ze ścianek tynkowanych należy usunąć tynk, a następnie rozbierać je kolejno warstwami. Podobnie należy demontować ścianki z większych elementów, jak pustaki, bloczki itp. Ścianki działowe rozbiera się z lekkich, przestawnych rusztowań, a cały materiał i gruz ze stropów usuwa na dół. Przed przystąpieniem do rozbiórki podłóg należy sprawdzić, z czego zostały wykonane podłogi. Przygotować miejsce składowanie materiałów, jeżeli dadzą się wykorzystać ponownie. Jeżeli nie da się wykorzystać odzyskanych materiałów ze względu na zniszczenie przy rozbiórce lub zużycia należy materiał wywieść na wysypisko śmieci. Podczas rozbiórki należy zwrócić uwagę na biegnące instalacje sanitarne lub elektryczne w podłodze. Po zerwaniu podłóg całość należy oczyścić z resztek pozostającego materiału</w:t>
      </w:r>
      <w:r>
        <w:rPr>
          <w:rFonts w:ascii="Arial" w:hAnsi="Arial" w:eastAsia="Arial" w:cs="Arial"/>
          <w:color w:val="000000"/>
          <w:spacing w:val="0"/>
          <w:sz w:val="20"/>
          <w:shd w:val="clear" w:fill="FFFFFF"/>
        </w:rPr>
        <w:t xml:space="preserve">. </w:t>
      </w:r>
    </w:p>
    <w:p w14:paraId="50EC5E6D">
      <w:pPr>
        <w:spacing w:before="0" w:after="16"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40358FB">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1.6 Kontrola jakości wykonania robót </w:t>
      </w:r>
    </w:p>
    <w:p w14:paraId="77C2E6BA">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04F7967">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Wizualna ocena poprawności wykonania robót, zgodności zakresu prac z Dokumentacją Projektową, prawidłowości wykonania tymczasowych podpór i zabezpieczeń elementów konstrukcyjnych. </w:t>
      </w:r>
    </w:p>
    <w:p w14:paraId="32AC2CEA">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Przed przystąpieniem do robót rozbiórkowych należy teren ogrodzić i oznakować zgodnie z wymogami BHP, zdemontować istniejące zasilanie w energię elektryczną, instalację teletechniczną i wodnokanalizacyjną oraz wszelkie istniejące uzbrojenie, wykonać zabezpieczenia szalunkowe. Bieżąca kontrola obejmuje wizualne sprawdzenie rozbieranych elementów oraz zgodność z obowiązującymi przepisami. Z utylizacji odpadów należy posiadać karty przekazania odpadów zgodnie z wymogami ustawy. </w:t>
      </w:r>
    </w:p>
    <w:p w14:paraId="11A17D3D">
      <w:pPr>
        <w:spacing w:before="0" w:after="9"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FAF0AEE">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1.7 Obmiar robót </w:t>
      </w:r>
    </w:p>
    <w:p w14:paraId="4D759E41">
      <w:pPr>
        <w:spacing w:before="0" w:after="7"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90B6A8F">
      <w:pPr>
        <w:spacing w:before="0" w:after="5" w:line="267" w:lineRule="exact"/>
        <w:ind w:left="490" w:right="5789"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m</w:t>
      </w:r>
      <w:r>
        <w:rPr>
          <w:rFonts w:ascii="Arial" w:hAnsi="Arial" w:eastAsia="Arial" w:cs="Arial"/>
          <w:color w:val="000000"/>
          <w:spacing w:val="0"/>
          <w:sz w:val="20"/>
          <w:shd w:val="clear" w:fill="FFFFFF"/>
          <w:vertAlign w:val="superscript"/>
        </w:rPr>
        <w:t>3</w:t>
      </w:r>
      <w:r>
        <w:rPr>
          <w:rFonts w:ascii="Arial" w:hAnsi="Arial" w:eastAsia="Arial" w:cs="Arial"/>
          <w:color w:val="000000"/>
          <w:spacing w:val="0"/>
          <w:sz w:val="20"/>
          <w:shd w:val="clear" w:fill="FFFFFF"/>
        </w:rPr>
        <w:t xml:space="preserve"> – beton i wylewki betonowe, drewno, m</w:t>
      </w:r>
      <w:r>
        <w:rPr>
          <w:rFonts w:ascii="Arial" w:hAnsi="Arial" w:eastAsia="Arial" w:cs="Arial"/>
          <w:color w:val="000000"/>
          <w:spacing w:val="0"/>
          <w:sz w:val="20"/>
          <w:shd w:val="clear" w:fill="FFFFFF"/>
          <w:vertAlign w:val="superscript"/>
        </w:rPr>
        <w:t>2</w:t>
      </w:r>
      <w:r>
        <w:rPr>
          <w:rFonts w:ascii="Arial" w:hAnsi="Arial" w:eastAsia="Arial" w:cs="Arial"/>
          <w:color w:val="000000"/>
          <w:spacing w:val="0"/>
          <w:sz w:val="20"/>
          <w:shd w:val="clear" w:fill="FFFFFF"/>
        </w:rPr>
        <w:t xml:space="preserve"> – posadzki, wylewki, stropy, stropodach, </w:t>
      </w:r>
    </w:p>
    <w:p w14:paraId="411C4E63">
      <w:pPr>
        <w:spacing w:before="0" w:after="5" w:line="267" w:lineRule="exact"/>
        <w:ind w:left="490" w:right="4904"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mb – elementy wbudowane, kg – stal zbrojeniowa i wbudowane elementy stalowe. </w:t>
      </w:r>
    </w:p>
    <w:p w14:paraId="74F9247F">
      <w:pPr>
        <w:spacing w:before="0" w:after="14"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D2DF409">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1.8 Odbiór robót </w:t>
      </w:r>
    </w:p>
    <w:p w14:paraId="4887429F">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0033382">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Odbiory częściowe po zakończeniu etapów przewidzianych harmonogramem robót, zapisy w Dzienniku Budowy, odbiór przez Nadzór Inwestorski. Wszystkie roboty objęte specyfikacją podlegają zasadom odbioru robót zanikających. </w:t>
      </w:r>
    </w:p>
    <w:p w14:paraId="116AE37A">
      <w:pPr>
        <w:spacing w:before="0" w:after="15"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CFC578C">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1.9 Podstawa płatności </w:t>
      </w:r>
    </w:p>
    <w:p w14:paraId="2458B743">
      <w:pPr>
        <w:spacing w:before="0" w:after="14"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650069CC">
      <w:pPr>
        <w:spacing w:before="0" w:after="26"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Zapisy umowy zawartej pomiędzy Inwestorem a Wykonawcą. Cena robót obejmuje : </w:t>
      </w:r>
    </w:p>
    <w:p w14:paraId="5585C1E3">
      <w:pPr>
        <w:numPr>
          <w:ilvl w:val="0"/>
          <w:numId w:val="47"/>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czyszczenie podłoża po zdemontowanych elementach, przetransportowanie odpadów z miejsca rozbiórki do kontenerów, </w:t>
      </w:r>
    </w:p>
    <w:p w14:paraId="61D9DF3D">
      <w:pPr>
        <w:numPr>
          <w:ilvl w:val="0"/>
          <w:numId w:val="47"/>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koszt składowania i utylizacji gruzu, </w:t>
      </w:r>
    </w:p>
    <w:p w14:paraId="259E93A4">
      <w:pPr>
        <w:numPr>
          <w:ilvl w:val="0"/>
          <w:numId w:val="47"/>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prace pomiarowe i pomocnicze, </w:t>
      </w:r>
    </w:p>
    <w:p w14:paraId="47CEA835">
      <w:pPr>
        <w:numPr>
          <w:ilvl w:val="0"/>
          <w:numId w:val="47"/>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przeprowadzenie demontażu wyznaczonych elementów, </w:t>
      </w:r>
    </w:p>
    <w:p w14:paraId="4691557E">
      <w:pPr>
        <w:numPr>
          <w:ilvl w:val="0"/>
          <w:numId w:val="47"/>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transport wewnętrzny materiałów z rozbiórki i ich usuniecie na zewnątrz obiektu, </w:t>
      </w:r>
    </w:p>
    <w:p w14:paraId="62E8082B">
      <w:pPr>
        <w:numPr>
          <w:ilvl w:val="0"/>
          <w:numId w:val="47"/>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uporządkowanie miejsca prowadzenia robót. </w:t>
      </w:r>
    </w:p>
    <w:p w14:paraId="15A1AABF">
      <w:pPr>
        <w:spacing w:before="0" w:after="13"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DE7C772">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1.10 Przepisy związane: </w:t>
      </w:r>
    </w:p>
    <w:p w14:paraId="5970D048">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03E2BDD">
      <w:pPr>
        <w:numPr>
          <w:ilvl w:val="0"/>
          <w:numId w:val="48"/>
        </w:numPr>
        <w:spacing w:before="0" w:after="5" w:line="267" w:lineRule="exact"/>
        <w:ind w:left="840" w:right="10" w:hanging="360"/>
        <w:jc w:val="both"/>
      </w:pPr>
      <w:r>
        <w:rPr>
          <w:rFonts w:ascii="Arial" w:hAnsi="Arial" w:eastAsia="Arial" w:cs="Arial"/>
          <w:color w:val="000000"/>
          <w:spacing w:val="0"/>
          <w:sz w:val="20"/>
          <w:shd w:val="clear" w:fill="FFFFFF"/>
        </w:rPr>
        <w:t xml:space="preserve">Ustawa z dnia 7 lipca 1994 r. - Prawo budowlane (jednolity tekst Dz. U. z 2000 r. Nr 0 poz. 1333 z późn. zm.) </w:t>
      </w:r>
    </w:p>
    <w:p w14:paraId="374E7C2D">
      <w:pPr>
        <w:numPr>
          <w:ilvl w:val="0"/>
          <w:numId w:val="48"/>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Ustawa z dnia 16 kwietnia 2004 r. - o wyborach budowlanych (Dz. U. Nr 92, poz. 881). </w:t>
      </w:r>
    </w:p>
    <w:p w14:paraId="46124EBA">
      <w:pPr>
        <w:numPr>
          <w:ilvl w:val="0"/>
          <w:numId w:val="48"/>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Ustawa z dnia 24 sierpnia 1991 r. - o ochronie przeciwpożarowej (jednolity tekst Dz. U. z 2002r. Nr 147, poz. 1229). </w:t>
      </w:r>
    </w:p>
    <w:p w14:paraId="5DD84200">
      <w:pPr>
        <w:numPr>
          <w:ilvl w:val="0"/>
          <w:numId w:val="48"/>
        </w:num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Ustawa z dnia 27 kwietnia 2001 r. - Prawo ochrony środowiska (Dz. U. Nr 62, poz. 627 z późn. zm.) e) r. ze zmianami)  </w:t>
      </w:r>
    </w:p>
    <w:p w14:paraId="26A1F3F7">
      <w:pPr>
        <w:spacing w:before="0" w:after="5" w:line="267" w:lineRule="exact"/>
        <w:ind w:left="840"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f) Rozporządzenie Ministra Pracy i Polityki Społecznej z 26.09.1997r. w sprawie ogólnych przepisów bezpieczeństwa i higieny pracy (tj. Dz. U. Nr 169 poz. 1650 z 2003 r. )  </w:t>
      </w:r>
    </w:p>
    <w:p w14:paraId="79E697A4">
      <w:pPr>
        <w:spacing w:before="0" w:after="0" w:line="259" w:lineRule="exact"/>
        <w:ind w:right="0" w:firstLine="0"/>
        <w:jc w:val="left"/>
        <w:rPr>
          <w:rFonts w:ascii="Arial" w:hAnsi="Arial" w:eastAsia="Arial" w:cs="Arial"/>
          <w:color w:val="000000"/>
          <w:spacing w:val="0"/>
          <w:sz w:val="20"/>
          <w:highlight w:val="white"/>
        </w:rPr>
      </w:pPr>
    </w:p>
    <w:p w14:paraId="24094FFD">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90792FE">
      <w:pPr>
        <w:spacing w:before="0" w:after="0" w:line="259" w:lineRule="exact"/>
        <w:ind w:left="495" w:right="0" w:firstLine="0"/>
        <w:jc w:val="left"/>
      </w:pPr>
      <w:r>
        <w:rPr>
          <w:rFonts w:ascii="Arial" w:hAnsi="Arial" w:eastAsia="Arial" w:cs="Arial"/>
          <w:color w:val="000000"/>
          <w:spacing w:val="0"/>
          <w:sz w:val="20"/>
          <w:shd w:val="clear" w:fill="FFFFFF"/>
        </w:rPr>
        <w:t xml:space="preserve"> </w:t>
      </w:r>
      <w:r>
        <w:rPr>
          <w:rFonts w:ascii="Arial" w:hAnsi="Arial" w:eastAsia="Arial" w:cs="Arial"/>
          <w:b/>
          <w:color w:val="000000"/>
          <w:spacing w:val="0"/>
          <w:sz w:val="18"/>
          <w:shd w:val="clear" w:fill="FFFFFF"/>
        </w:rPr>
        <w:t xml:space="preserve"> </w:t>
      </w:r>
      <w:r>
        <w:rPr>
          <w:rFonts w:ascii="Arial" w:hAnsi="Arial" w:eastAsia="Arial" w:cs="Arial"/>
          <w:b/>
          <w:bCs/>
          <w:color w:val="000000"/>
          <w:spacing w:val="0"/>
          <w:sz w:val="20"/>
          <w:szCs w:val="20"/>
          <w:shd w:val="clear" w:fill="FFFFFF"/>
        </w:rPr>
        <w:t>STB 01.02 DACH POKRYCIE</w:t>
      </w:r>
      <w:r>
        <w:rPr>
          <w:rFonts w:ascii="Arial" w:hAnsi="Arial" w:eastAsia="Arial" w:cs="Arial"/>
          <w:b/>
          <w:color w:val="000000"/>
          <w:spacing w:val="0"/>
          <w:sz w:val="20"/>
          <w:szCs w:val="20"/>
          <w:shd w:val="clear" w:fill="FFFFFF"/>
        </w:rPr>
        <w:t xml:space="preserve"> kod CPV 45261900-3 </w:t>
      </w:r>
    </w:p>
    <w:p w14:paraId="37F0CCAE">
      <w:pPr>
        <w:spacing w:before="0" w:after="1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6D1EB01">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8.1 Wstęp </w:t>
      </w:r>
    </w:p>
    <w:p w14:paraId="10EE8446">
      <w:pPr>
        <w:spacing w:before="0" w:after="43"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5AFF4A8">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8.1.1 Przedmiot specyfikacji </w:t>
      </w:r>
    </w:p>
    <w:p w14:paraId="592E6394">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Przedmiotem niniejszej szczegółowej specyfikacji technicznej są wymagania dotyczące wykonania i odbioru robot związanych z wykonaniem pokrycia dachów. </w:t>
      </w:r>
    </w:p>
    <w:p w14:paraId="0DF146FD">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7BE1F63">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8.1.2 Zakres </w:t>
      </w:r>
    </w:p>
    <w:p w14:paraId="60DBAFD6">
      <w:pPr>
        <w:spacing w:before="0" w:after="5" w:line="267" w:lineRule="exact"/>
        <w:ind w:left="490" w:right="10" w:hanging="10"/>
        <w:jc w:val="both"/>
      </w:pPr>
      <w:r>
        <w:rPr>
          <w:rFonts w:ascii="Arial" w:hAnsi="Arial" w:eastAsia="Arial" w:cs="Arial"/>
          <w:color w:val="000000"/>
          <w:spacing w:val="0"/>
          <w:sz w:val="20"/>
          <w:shd w:val="clear" w:fill="FFFFFF"/>
        </w:rPr>
        <w:t xml:space="preserve">Zakres opracowania obejmuje wykonanie pokrycia dachów. Szczegółowy zakres prac według poniższego wykazu robót: </w:t>
      </w:r>
    </w:p>
    <w:p w14:paraId="4FD0BD11">
      <w:pPr>
        <w:numPr>
          <w:ilvl w:val="0"/>
          <w:numId w:val="49"/>
        </w:numPr>
        <w:spacing w:before="0" w:after="5" w:line="267" w:lineRule="exact"/>
        <w:ind w:left="1215" w:right="10" w:hanging="360"/>
        <w:jc w:val="both"/>
      </w:pPr>
      <w:r>
        <w:rPr>
          <w:rFonts w:ascii="Arial" w:hAnsi="Arial" w:eastAsia="Arial" w:cs="Arial"/>
          <w:color w:val="000000"/>
          <w:spacing w:val="0"/>
          <w:sz w:val="20"/>
          <w:shd w:val="clear" w:fill="FFFFFF"/>
        </w:rPr>
        <w:t xml:space="preserve">Ułożenie blachy trapezowej, </w:t>
      </w:r>
    </w:p>
    <w:p w14:paraId="0448B48A">
      <w:pPr>
        <w:numPr>
          <w:ilvl w:val="0"/>
          <w:numId w:val="49"/>
        </w:numPr>
        <w:spacing w:before="0" w:after="5" w:line="267" w:lineRule="exact"/>
        <w:ind w:left="1215" w:right="10" w:hanging="360"/>
        <w:jc w:val="both"/>
      </w:pPr>
      <w:r>
        <w:rPr>
          <w:rFonts w:ascii="Arial" w:hAnsi="Arial" w:eastAsia="Arial" w:cs="Arial"/>
          <w:color w:val="000000"/>
          <w:spacing w:val="0"/>
          <w:sz w:val="20"/>
          <w:shd w:val="clear" w:fill="FFFFFF"/>
        </w:rPr>
        <w:t xml:space="preserve">Wykonanie obróbek blacharskich, </w:t>
      </w:r>
    </w:p>
    <w:p w14:paraId="039AE9BF">
      <w:pPr>
        <w:spacing w:before="0" w:after="13"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95F4843">
      <w:pPr>
        <w:spacing w:before="0" w:after="5" w:line="267" w:lineRule="exact"/>
        <w:ind w:left="840" w:right="10" w:hanging="360"/>
        <w:jc w:val="both"/>
      </w:pPr>
      <w:r>
        <w:rPr>
          <w:rFonts w:ascii="Arial" w:hAnsi="Arial" w:eastAsia="Arial" w:cs="Arial"/>
          <w:color w:val="000000"/>
          <w:spacing w:val="0"/>
          <w:sz w:val="20"/>
          <w:shd w:val="clear" w:fill="FFFFFF"/>
        </w:rPr>
        <w:t xml:space="preserve">8.2 Materiały </w:t>
      </w:r>
      <w:r>
        <w:rPr>
          <w:rFonts w:ascii="Segoe UI Symbol" w:hAnsi="Segoe UI Symbol" w:eastAsia="Segoe UI Symbol" w:cs="Segoe UI Symbol"/>
          <w:color w:val="000000"/>
          <w:spacing w:val="0"/>
          <w:sz w:val="20"/>
          <w:shd w:val="clear" w:fill="FFFFFF"/>
        </w:rPr>
        <w:t>·</w:t>
      </w:r>
      <w:r>
        <w:rPr>
          <w:rFonts w:ascii="Arial" w:hAnsi="Arial" w:eastAsia="Arial" w:cs="Arial"/>
          <w:color w:val="000000"/>
          <w:spacing w:val="0"/>
          <w:sz w:val="20"/>
          <w:shd w:val="clear" w:fill="FFFFFF"/>
        </w:rPr>
        <w:t xml:space="preserve"> Blacha trapezowa powlekana obustronnie powłoką poliestrową matową w kolorze grafitowym. </w:t>
      </w:r>
    </w:p>
    <w:p w14:paraId="1E321454">
      <w:pPr>
        <w:numPr>
          <w:ilvl w:val="0"/>
          <w:numId w:val="50"/>
        </w:numPr>
        <w:spacing w:before="0" w:after="5" w:line="267" w:lineRule="exact"/>
        <w:jc w:val="both"/>
      </w:pPr>
      <w:r>
        <w:rPr>
          <w:rFonts w:ascii="Arial" w:hAnsi="Arial" w:eastAsia="Arial" w:cs="Arial"/>
          <w:color w:val="000000"/>
          <w:spacing w:val="0"/>
          <w:sz w:val="20"/>
          <w:shd w:val="clear" w:fill="FFFFFF"/>
        </w:rPr>
        <w:t>Blacha trapezowa T-</w:t>
      </w:r>
      <w:r>
        <w:rPr>
          <w:rFonts w:hint="default" w:ascii="Arial" w:hAnsi="Arial" w:eastAsia="Arial" w:cs="Arial"/>
          <w:color w:val="000000"/>
          <w:spacing w:val="0"/>
          <w:sz w:val="20"/>
          <w:shd w:val="clear" w:fill="FFFFFF"/>
          <w:lang w:val="pl-PL"/>
        </w:rPr>
        <w:t>25</w:t>
      </w:r>
      <w:r>
        <w:rPr>
          <w:rFonts w:ascii="Arial" w:hAnsi="Arial" w:eastAsia="Arial" w:cs="Arial"/>
          <w:color w:val="000000"/>
          <w:spacing w:val="0"/>
          <w:sz w:val="20"/>
          <w:shd w:val="clear" w:fill="FFFFFF"/>
        </w:rPr>
        <w:t xml:space="preserve"> do T-</w:t>
      </w:r>
      <w:r>
        <w:rPr>
          <w:rFonts w:hint="default" w:ascii="Arial" w:hAnsi="Arial" w:eastAsia="Arial" w:cs="Arial"/>
          <w:color w:val="000000"/>
          <w:spacing w:val="0"/>
          <w:sz w:val="20"/>
          <w:shd w:val="clear" w:fill="FFFFFF"/>
          <w:lang w:val="pl-PL"/>
        </w:rPr>
        <w:t>3</w:t>
      </w:r>
      <w:bookmarkStart w:id="0" w:name="_GoBack"/>
      <w:bookmarkEnd w:id="0"/>
      <w:r>
        <w:rPr>
          <w:rFonts w:ascii="Arial" w:hAnsi="Arial" w:eastAsia="Arial" w:cs="Arial"/>
          <w:color w:val="000000"/>
          <w:spacing w:val="0"/>
          <w:sz w:val="20"/>
          <w:shd w:val="clear" w:fill="FFFFFF"/>
        </w:rPr>
        <w:t>5 stalowa gr. 0,55mm powlekana powłoką poliestrową kolor grafitowy</w:t>
      </w:r>
    </w:p>
    <w:p w14:paraId="27078A16">
      <w:pPr>
        <w:numPr>
          <w:ilvl w:val="0"/>
          <w:numId w:val="50"/>
        </w:numPr>
        <w:spacing w:before="0" w:after="5" w:line="267" w:lineRule="exact"/>
        <w:ind w:left="1215" w:right="10" w:hanging="360"/>
        <w:jc w:val="both"/>
      </w:pPr>
      <w:r>
        <w:rPr>
          <w:rFonts w:ascii="Arial" w:hAnsi="Arial" w:eastAsia="Arial" w:cs="Arial"/>
          <w:color w:val="000000"/>
          <w:spacing w:val="0"/>
          <w:sz w:val="20"/>
          <w:shd w:val="clear" w:fill="FFFFFF"/>
        </w:rPr>
        <w:t xml:space="preserve">Gąsiory do pokrycia kalenicy analogiczne do blachy, </w:t>
      </w:r>
    </w:p>
    <w:p w14:paraId="36333758">
      <w:pPr>
        <w:numPr>
          <w:ilvl w:val="0"/>
          <w:numId w:val="50"/>
        </w:numPr>
        <w:spacing w:before="0" w:after="5" w:line="267" w:lineRule="exact"/>
        <w:ind w:left="1215" w:right="10" w:hanging="360"/>
        <w:jc w:val="both"/>
      </w:pPr>
      <w:r>
        <w:rPr>
          <w:rFonts w:ascii="Arial" w:hAnsi="Arial" w:eastAsia="Arial" w:cs="Arial"/>
          <w:color w:val="000000"/>
          <w:spacing w:val="0"/>
          <w:sz w:val="20"/>
          <w:shd w:val="clear" w:fill="FFFFFF"/>
        </w:rPr>
        <w:t xml:space="preserve">Rury i rynny spustowe: blachy stalowej ocynkowanej i powlekanej w kolorze pokrycia dachowego, </w:t>
      </w:r>
    </w:p>
    <w:p w14:paraId="2969E599">
      <w:pPr>
        <w:numPr>
          <w:ilvl w:val="0"/>
          <w:numId w:val="50"/>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Uchwyty do rynien i rur spustowych systemowe producenta rynien i rur spustowych, </w:t>
      </w:r>
    </w:p>
    <w:p w14:paraId="4CDCCF32">
      <w:pPr>
        <w:numPr>
          <w:ilvl w:val="0"/>
          <w:numId w:val="50"/>
        </w:numPr>
        <w:spacing w:before="0" w:after="5" w:line="267" w:lineRule="exact"/>
        <w:jc w:val="both"/>
      </w:pPr>
      <w:r>
        <w:rPr>
          <w:rFonts w:ascii="Arial" w:hAnsi="Arial" w:eastAsia="Arial" w:cs="Arial"/>
          <w:color w:val="000000"/>
          <w:spacing w:val="0"/>
          <w:sz w:val="20"/>
          <w:shd w:val="clear" w:fill="FFFFFF"/>
        </w:rPr>
        <w:t>Blacha płaska do obróbek blacharskich stalowa gr. 0,55mm powlekana  powłoką poliestrową</w:t>
      </w:r>
    </w:p>
    <w:p w14:paraId="344BBC76">
      <w:pPr>
        <w:spacing w:before="0" w:after="17" w:line="259" w:lineRule="exact"/>
        <w:ind w:right="0" w:firstLine="0"/>
        <w:jc w:val="left"/>
      </w:pPr>
      <w:r>
        <w:rPr>
          <w:rFonts w:ascii="Arial" w:hAnsi="Arial" w:eastAsia="Arial" w:cs="Arial"/>
          <w:color w:val="000000"/>
          <w:spacing w:val="0"/>
          <w:sz w:val="20"/>
          <w:shd w:val="clear" w:fill="FFFFFF"/>
        </w:rPr>
        <w:t xml:space="preserve"> </w:t>
      </w:r>
    </w:p>
    <w:p w14:paraId="3C1A0369">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8.3 Sprzęt </w:t>
      </w:r>
    </w:p>
    <w:p w14:paraId="515E70FA">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Sprzęt potrzebny do wykonania robót powinien spełniać wymogi określone w ST 00.00. </w:t>
      </w:r>
    </w:p>
    <w:p w14:paraId="62827816">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F388248">
      <w:pPr>
        <w:spacing w:before="0" w:after="5" w:line="267" w:lineRule="exact"/>
        <w:ind w:left="490" w:right="1631"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Do wykonania prac związanych z wykonaniem dachu należy stosować sprawny technicznie sprzęt i narzędzia: </w:t>
      </w:r>
    </w:p>
    <w:p w14:paraId="13CD3895">
      <w:pPr>
        <w:numPr>
          <w:ilvl w:val="0"/>
          <w:numId w:val="51"/>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Nożyce do cięcia, zginarki i zgrzewarki </w:t>
      </w:r>
    </w:p>
    <w:p w14:paraId="3A76644F">
      <w:pPr>
        <w:numPr>
          <w:ilvl w:val="0"/>
          <w:numId w:val="51"/>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Sprzęt pomiarowy i komunikacyjny niezbędny przy montażu elementów prefabrykowanych </w:t>
      </w:r>
    </w:p>
    <w:p w14:paraId="5FBDBD27">
      <w:pPr>
        <w:numPr>
          <w:ilvl w:val="0"/>
          <w:numId w:val="51"/>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Inne narzędzia ręczne </w:t>
      </w:r>
    </w:p>
    <w:p w14:paraId="35EDD27F">
      <w:pPr>
        <w:numPr>
          <w:ilvl w:val="0"/>
          <w:numId w:val="51"/>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Żuraw samochodowy lub stacjonarny o odpowiednio dobranym udźwigu </w:t>
      </w:r>
    </w:p>
    <w:p w14:paraId="6D9C9E32">
      <w:pPr>
        <w:numPr>
          <w:ilvl w:val="0"/>
          <w:numId w:val="51"/>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Wyciąg elektryczny do transportu wyrobów izolacyjnych </w:t>
      </w:r>
    </w:p>
    <w:p w14:paraId="3C82E4C7">
      <w:pPr>
        <w:numPr>
          <w:ilvl w:val="0"/>
          <w:numId w:val="51"/>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Sprzęt wymagany w przepisach BHP i przeciwpożarowych </w:t>
      </w:r>
    </w:p>
    <w:p w14:paraId="03B26884">
      <w:pPr>
        <w:numPr>
          <w:ilvl w:val="0"/>
          <w:numId w:val="51"/>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Piły ręczne i elektryczne </w:t>
      </w:r>
    </w:p>
    <w:p w14:paraId="5807A00F">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BDFC0A1">
      <w:pPr>
        <w:numPr>
          <w:ilvl w:val="0"/>
          <w:numId w:val="52"/>
        </w:numPr>
        <w:spacing w:before="0" w:after="5" w:line="267" w:lineRule="exact"/>
        <w:ind w:left="811" w:right="10" w:hanging="331"/>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Transport.  </w:t>
      </w:r>
    </w:p>
    <w:p w14:paraId="0C1D98C6">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Środki i urządzenia transportu powinny być odpowiednio przystosowane do transportu materiałów, elementów itp. niezbędnych do wykonania danego rodzaju robót pokryciowych. W czasie transportu należy zabezpieczyć przemieszczanie przedmiotów w sposób zapobiegający ich uszkodzeniu. Wszystkie materiały dekarskie powinny być przechowywane i magazynowane zgodnie z instrukcją producenta oraz wg odpowiednich norm wyrobu. Przyjęcie materiałów i wyrobów na budowę powinno być potwierdzone wpisem do dziennika budowy. Pakiety płyt należy każdorazowo zabezpieczyć przed opadami atmosferycznymi i silnym wiatrem. </w:t>
      </w:r>
    </w:p>
    <w:p w14:paraId="032CBA60">
      <w:pPr>
        <w:spacing w:before="0" w:after="15"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BF85402">
      <w:pPr>
        <w:numPr>
          <w:ilvl w:val="0"/>
          <w:numId w:val="53"/>
        </w:numPr>
        <w:spacing w:before="0" w:after="5" w:line="267" w:lineRule="exact"/>
        <w:ind w:left="811" w:right="10" w:hanging="331"/>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Wykonanie robót </w:t>
      </w:r>
    </w:p>
    <w:p w14:paraId="58C03080">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Roboty pokrywcze nie powinny być wykonywane w warunkach szkodliwego oddziaływania czynników atmosferycznych na jakość pokrycia, takich jak: temp. powietrza poniżej 5oC, rosa, opady deszczu lub śniegu, oblodzenie oraz wiatr utrudniający krycie. W razie konieczności wykonywania pokryć w niekorzystnych warunkach atmosferycznych powinny być zastosowane środki zabezpieczające przed możliwością szkodliwego ich oddziaływania na jakość i trwałość pokrycia (np. zadaszenie). </w:t>
      </w:r>
    </w:p>
    <w:p w14:paraId="3428AE28">
      <w:pPr>
        <w:spacing w:before="0" w:after="6" w:line="259" w:lineRule="exact"/>
        <w:ind w:left="495" w:right="0" w:firstLine="0"/>
        <w:jc w:val="left"/>
      </w:pPr>
      <w:r>
        <w:rPr>
          <w:rFonts w:ascii="Arial" w:hAnsi="Arial" w:eastAsia="Arial" w:cs="Arial"/>
          <w:color w:val="000000"/>
          <w:spacing w:val="0"/>
          <w:sz w:val="20"/>
          <w:shd w:val="clear" w:fill="FFFFFF"/>
        </w:rPr>
        <w:t xml:space="preserve"> </w:t>
      </w:r>
    </w:p>
    <w:p w14:paraId="7B618849">
      <w:pPr>
        <w:spacing w:before="0" w:after="5" w:line="267" w:lineRule="exact"/>
        <w:ind w:left="490" w:right="10" w:hanging="10"/>
        <w:jc w:val="both"/>
      </w:pPr>
      <w:r>
        <w:rPr>
          <w:rFonts w:ascii="Arial" w:hAnsi="Arial" w:eastAsia="Arial" w:cs="Arial"/>
          <w:color w:val="000000"/>
          <w:spacing w:val="0"/>
          <w:sz w:val="20"/>
          <w:shd w:val="clear" w:fill="FFFFFF"/>
        </w:rPr>
        <w:t xml:space="preserve">8.5.3 Blacha trapezowa </w:t>
      </w:r>
    </w:p>
    <w:p w14:paraId="543153C7">
      <w:pPr>
        <w:spacing w:before="0" w:after="5" w:line="267" w:lineRule="exact"/>
        <w:ind w:left="490" w:right="10" w:hanging="10"/>
        <w:jc w:val="both"/>
      </w:pPr>
      <w:r>
        <w:rPr>
          <w:rFonts w:ascii="Arial" w:hAnsi="Arial" w:eastAsia="Arial" w:cs="Arial"/>
          <w:color w:val="000000"/>
          <w:spacing w:val="0"/>
          <w:sz w:val="20"/>
          <w:shd w:val="clear" w:fill="FFFFFF"/>
        </w:rPr>
        <w:t xml:space="preserve">Podczas obróbki na placu budowy blacha nie może mieć zbyt niskiej temperatury. Jeśli arkusze blachyi przechowywane się w nocy na zewnątrz, ich temperatura może być niższa od temperatury powietrza. Dlatego zaleca się nie zaczynać dnia od wykonywania skomplikowanych obróbek ręcznych, a raczej poczekać z nimi do czasu podniesienia się temperatury, albo przygotować je w ciepłym pomieszczeniu. Temperatura blachy w momencie układania decyduje o tym, w jakim stopniu będzie się ona odkształcać od stanu wyjściowego w okresie letnim i zimowym. Ważne jest więc uwzględnienie rozszerzalności cieplnej, aby nie dopuścić do uszkodzenia blachy lub jej mocowań. Do mocowania blachy należy używać nierdzewnych wkrętów do drewna najlepiej w kolorze pokrycia w ilościach i odstępach zalecanych przez producenta pokrycia. Przed wykonaniem pokrycia należy wykonać wszystkie obróbki blacharskie z blachy powlekanej koloru blachy. Płyty powinny zachodzić na blachę okapową nie mniej niż 12 cm, zakład czołowy rzędu blacha na blachę nie mniej niż 15 cm, boczny zakład płyt wg producenta. Płyty blachy  do łat należy mocować za pomocą blachowkrętów z uszczelką gumową. Kierunek układania płyt należy tak wybrać aby podmuchy wiatru nie powodowały podrywania płyt. Po zamontowaniu obu połaci dachowych należy zamontować do szczytowych krokwi wiatrownice z blachy powlekanej w kolorze blachy oraz gąsiory żłobione z uszczelkami w kalenicy budynku. W czasie wykonywania wszystkich robót montażowych pokrycia dachowego po blasze można ostrożnie chodzić, ale tylko w obuwiu z gumową podeszwą, stawiając stopy w zagłębieniach blach w miejscu mocowania, albo po ułożonej na połaci drabinie. Po zakończeniu montażu nowego pokrycia należy sprawdzić, czy powłoka ochronna nie jest zarysowana, ponieważ każde uszkodzenie może być ogniskiem korozji. Jeśli jest zarysowana, takie miejsca należy umyć, wysuszyć i zamalować farbą renowacyjną odpowiednia do zastosowanego systemu. </w:t>
      </w:r>
    </w:p>
    <w:p w14:paraId="4C6E00C6">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2269848">
      <w:pPr>
        <w:spacing w:before="0" w:after="5" w:line="267" w:lineRule="exact"/>
        <w:ind w:left="490" w:right="10" w:hanging="10"/>
        <w:jc w:val="both"/>
      </w:pPr>
      <w:r>
        <w:rPr>
          <w:rFonts w:ascii="Arial" w:hAnsi="Arial" w:eastAsia="Arial" w:cs="Arial"/>
          <w:color w:val="000000"/>
          <w:spacing w:val="0"/>
          <w:sz w:val="20"/>
          <w:shd w:val="clear" w:fill="FFFFFF"/>
        </w:rPr>
        <w:t xml:space="preserve">8.5.4 Rynny i rury spustowe </w:t>
      </w:r>
    </w:p>
    <w:p w14:paraId="76C4C869">
      <w:pPr>
        <w:spacing w:before="0" w:after="5" w:line="267" w:lineRule="exact"/>
        <w:ind w:left="490" w:right="10" w:hanging="10"/>
        <w:jc w:val="both"/>
      </w:pPr>
      <w:r>
        <w:rPr>
          <w:rFonts w:ascii="Arial" w:hAnsi="Arial" w:eastAsia="Arial" w:cs="Arial"/>
          <w:color w:val="000000"/>
          <w:spacing w:val="0"/>
          <w:sz w:val="20"/>
          <w:shd w:val="clear" w:fill="FFFFFF"/>
        </w:rPr>
        <w:t xml:space="preserve">Rynny z blachy mocować do okapów za pomocą uchwytów rozstawionych co 0,6 m. Elementy rynien łączyć na budowie ściśle z zaleceniami producenta i z materiałów preferowanych przez producenta. Odcinki rynien nie powinny być dłuższe niż 20 m. W związku z tym należy dzielić je na odcinki, których końce umieszcza się w miejscach najwyższego wzniesienia rynny. Każdy odcinek rynny kończyć tzw. denkiem i nie łączyć się go z drugim odcinkiem. Każde załamanie rynny powinno być oparte na uchwytach rynnowych. Zewnętrzny brzeg rynny powinien być usytuowany o 10 mm niżej w stosunku do brzegu wewnętrznego. Brzeg wewnętrzny w najwyższym położeniu rynny powinien być usytuowany o 25mm niżej w stosunku do linii stanowiącej przedłużenie połaci. Montaż rur spustowych rozpoczyna się od umocowania co 2÷3 m uchwytów wzdłuż linii wyznaczonej na ścianie budynku. Pierwszy uchwyt mocuje się 1 m poniżej wpustu. Poszczególne elementy rur spustowych łączyć na tzw. mufy. Połączenie rynien z rurami spustowymi wykonywać za pomocą lejów spustowych. </w:t>
      </w:r>
    </w:p>
    <w:p w14:paraId="1F56E202">
      <w:pPr>
        <w:spacing w:before="0" w:after="15"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8CE9FC9">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8.6 Kontrola jakości </w:t>
      </w:r>
    </w:p>
    <w:p w14:paraId="25210F58">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Kontrola jakości będzie wykonywana zgodnie z wymaganiami określonymi w ST 00.00. </w:t>
      </w:r>
    </w:p>
    <w:p w14:paraId="3C799DED">
      <w:pPr>
        <w:spacing w:before="0" w:after="27"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Do oceny i przyjęcia pokrycia dachowego wykonawca powinien przedstawić, co najmniej następujące dokumenty: </w:t>
      </w:r>
    </w:p>
    <w:p w14:paraId="621FD01F">
      <w:pPr>
        <w:numPr>
          <w:ilvl w:val="0"/>
          <w:numId w:val="5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dokumentację techniczną, </w:t>
      </w:r>
    </w:p>
    <w:p w14:paraId="38F0580D">
      <w:pPr>
        <w:numPr>
          <w:ilvl w:val="0"/>
          <w:numId w:val="5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protokóły odbiorów międzyoperacyjnych stwierdzających prawidłowe przygotowanie podłoża, prawidłowego wykonania każdej z warstw podkładowych pokrycia oraz innych robót zanikających, </w:t>
      </w:r>
    </w:p>
    <w:p w14:paraId="515E1161">
      <w:pPr>
        <w:numPr>
          <w:ilvl w:val="0"/>
          <w:numId w:val="54"/>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protokóły badań kontrolnych lub zaświadczenia o jakości materiałów ze znakiem CE używanych do wykonanego pokrycia. </w:t>
      </w:r>
    </w:p>
    <w:p w14:paraId="0F398D3D">
      <w:pPr>
        <w:spacing w:before="0" w:after="16"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35E5F93">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8.6.1 Sprawdzenie zgodności z dokumentacją techniczną powinno być przeprowadzone przez porównanie wykonanego pokrycia dachowego z projektem technicznym lub wcześniejszych uzgodnień z Inwestorem oraz stwierdzenie wzajemnej zgodności za pomocą oględzin i pomiaru, a w odniesieniu do robót zanikających na podstawie protokołów odbiorów międzyoperacyjnych. </w:t>
      </w:r>
    </w:p>
    <w:p w14:paraId="69B9C273">
      <w:pPr>
        <w:spacing w:before="0" w:after="14"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9CCE7B1">
      <w:pPr>
        <w:spacing w:before="0" w:after="26"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8.6.2 Sprawdzenie podłoża powinno być przeprowadzone podczas odbioru międzyoperacyjnego przed przystąpieniem do wykonania pokrycia, a wyniki sprawdzenia powinny być podane w protokóle z tego odbioru. Podłoża z łat drewnianych – powinny być sprawdzane wg PN-71/B-10080. </w:t>
      </w:r>
    </w:p>
    <w:p w14:paraId="155B46F3">
      <w:pPr>
        <w:numPr>
          <w:ilvl w:val="0"/>
          <w:numId w:val="55"/>
        </w:numPr>
        <w:spacing w:before="0" w:after="2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przekroju łat stanowiących podkład pod pokrycie należy przeprowadzać za pomocą miarki z dokładnością do 1 mm, </w:t>
      </w:r>
    </w:p>
    <w:p w14:paraId="2B8B84DE">
      <w:pPr>
        <w:numPr>
          <w:ilvl w:val="0"/>
          <w:numId w:val="55"/>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rozstawu łat należy przeprowadzać przez pomiar za pomocą miarki kontrolnej lub łaty kontrolnej albo taśmy z dokładnością do 2 mm, </w:t>
      </w:r>
    </w:p>
    <w:p w14:paraId="72E527D9">
      <w:pPr>
        <w:numPr>
          <w:ilvl w:val="0"/>
          <w:numId w:val="55"/>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poziomego położenia łat należy przeprowadzać za pomocą poziomicy lub łaty kontrolnej o długości 3 m, </w:t>
      </w:r>
    </w:p>
    <w:p w14:paraId="05CF6797">
      <w:pPr>
        <w:numPr>
          <w:ilvl w:val="0"/>
          <w:numId w:val="55"/>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przybicia łat do krokwi (kontrłat) należy przeprowadzać za pomocą oględzin, a w przypadkach wątpliwych przez próbę oderwania łaty od krokwi (kontrłaty), </w:t>
      </w:r>
    </w:p>
    <w:p w14:paraId="4C6F25E1">
      <w:pPr>
        <w:numPr>
          <w:ilvl w:val="0"/>
          <w:numId w:val="55"/>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wielkości otworów po sękach należy przeprowadzać przez oględziny i pomiar średnicy otworów z dokładnością do 2 mm </w:t>
      </w:r>
      <w:r>
        <w:rPr>
          <w:rFonts w:ascii="Segoe UI Symbol" w:hAnsi="Segoe UI Symbol" w:eastAsia="Segoe UI Symbol" w:cs="Segoe UI Symbol"/>
          <w:color w:val="000000"/>
          <w:spacing w:val="0"/>
          <w:sz w:val="20"/>
          <w:shd w:val="clear" w:fill="FFFFFF"/>
        </w:rPr>
        <w:t>·</w:t>
      </w:r>
      <w:r>
        <w:rPr>
          <w:rFonts w:ascii="Arial" w:hAnsi="Arial" w:eastAsia="Arial" w:cs="Arial"/>
          <w:color w:val="000000"/>
          <w:spacing w:val="0"/>
          <w:sz w:val="20"/>
          <w:shd w:val="clear" w:fill="FFFFFF"/>
        </w:rPr>
        <w:t xml:space="preserve"> sprawdzenie pochylenia połaci dachowej należy przeprowadzać za pomocą przyrządu (np. </w:t>
      </w:r>
    </w:p>
    <w:p w14:paraId="1A839E47">
      <w:pPr>
        <w:spacing w:before="0" w:after="5" w:line="267" w:lineRule="exact"/>
        <w:ind w:left="1225"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kątomierza z poziomnicą lub pionem murarskim) lub przez obliczenia.  </w:t>
      </w:r>
    </w:p>
    <w:p w14:paraId="697898F9">
      <w:pPr>
        <w:spacing w:before="0" w:after="16" w:line="259" w:lineRule="exact"/>
        <w:ind w:left="121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5E57E0FC">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8.6.3 Dokładność pomiaru jest najbardziej istotna przy małych pochyleniach płaci (poniżej 5%) i powinna być wykonana z dokładnością do 0,5%. Dokładność pomiaru spadku podłużnego w rynnach i korytach odwadniających powinna wynosić ok. 0,1%, Jeżeli w czasie odbiorów częściowych przeprowadzone badania dadzą wynik dodatni, to wykonane podłoża lub podkładu należy uznać za zgodne z niniejszą ST i dopuścić do wykonywania na nich pokryć dachowych. W przypadku, gdy chociaż jedno z badań da wynik ujemny, wówczas odbierane podłoże lub podkład należy uznać za niezgodne z niniejszą ST. W razie wykonania podkładu lub podłoża w całości lub części za wykonane niezgodne z wymaganiami niniejszej ST Inżynier powinien ustalić, czy niezbędne jest całkowite lub częściowe odrzucenie wykonanych robót i nakazać ponowne ich wykonanie lub wykonać poprawki, które doprowadzą do zgodności robót z wymaganiami ST. Podjęte decyzje o dopuszczeniu lub niedopuszczeniu podłoża lub podkładu do wykonywania robót pokrywczych powinny być wpisane do dziennika budowy, a wyniki badań odbiorów częściowych powinny być umieszczone w protokóle odbioru. </w:t>
      </w:r>
    </w:p>
    <w:p w14:paraId="46901058">
      <w:pPr>
        <w:spacing w:before="0" w:after="18"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36383C6">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materiałów należy przeprowadzać pośrednio na podstawie zaświadczeń o jakości </w:t>
      </w:r>
    </w:p>
    <w:p w14:paraId="21C298F9">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(atestów) lub wyników badań kontrolnych stwierdzających zgodność użytych materiałów z wymaganiami odpowiednich norm lub świadectw dopuszczenia materiałów do stosowania w budownictwie wydanych przez ITB. W przypadku wystąpienia wątpliwości, co do jakości materiałów, na polecenie Inżyniera należy pobrać losowo próbki do badań laboratoryjnych wykonanych na koszt Wykonawcy wg PN-N 03010:1983. </w:t>
      </w:r>
    </w:p>
    <w:p w14:paraId="1E650C9C">
      <w:pPr>
        <w:spacing w:before="0" w:after="14"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7C61EC0">
      <w:pPr>
        <w:spacing w:before="0" w:after="26"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8.6.4 Badanie prawidłowości wykonania pokrycia </w:t>
      </w:r>
    </w:p>
    <w:p w14:paraId="339AD608">
      <w:pPr>
        <w:numPr>
          <w:ilvl w:val="0"/>
          <w:numId w:val="56"/>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równości powierzchni pokrycia należy przeprowadzać jak dla podkładu lub podłoża pod izolację. </w:t>
      </w:r>
    </w:p>
    <w:p w14:paraId="1336BE95">
      <w:pPr>
        <w:numPr>
          <w:ilvl w:val="0"/>
          <w:numId w:val="56"/>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prawidłowości spadków i szczelności pokrycia należy przeprowadzać głównie w miejscach narażonych na zatrzymywanie się wody (np. koryta, załamania, miejsca styku ze ścianami, kominami, świetlikami itp.). sprawdzenie szczelności pokrycia należy przeprowadzać bezpośrednio po obfitym opadzie deszczowym; sprawdzenie to można również wykonać przez poddanie wybranych miejsc działaniu strumienia wody przez okres nie krótszy niż 15 minut i obserwowanie czy spływająca woda nie zatrzymuje się na powierzchni pokrycia lub czy nie przenika przez nie i nie tworzy zacieków. </w:t>
      </w:r>
    </w:p>
    <w:p w14:paraId="2BF6DDA8">
      <w:pPr>
        <w:numPr>
          <w:ilvl w:val="0"/>
          <w:numId w:val="56"/>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przybicia blachy dachówkowej do podłoża drewnianego należy przeprowadzać przez oględziny zewnętrzne i wyrywkowe sprawdzenie przymiarem odstępów pomiędzy łącznikami z dokładnością do 1 cm. </w:t>
      </w:r>
    </w:p>
    <w:p w14:paraId="02C32775">
      <w:pPr>
        <w:numPr>
          <w:ilvl w:val="0"/>
          <w:numId w:val="56"/>
        </w:numPr>
        <w:spacing w:before="0" w:after="29"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Zauważone usterki należy oznaczyć w sposób umożliwiający ich odszukanie i naprawy po wyschnięciu pokrycia. </w:t>
      </w:r>
    </w:p>
    <w:p w14:paraId="316102A2">
      <w:pPr>
        <w:numPr>
          <w:ilvl w:val="0"/>
          <w:numId w:val="56"/>
        </w:numPr>
        <w:spacing w:before="0" w:after="26"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montażu rur spustowych polega na stwierdzeniu prawidłowości połączenia poszczególnych rur, umocowań rur w uchwytach, braku odchyleń od prostoliniowości i kierunki pionowego; należy sprawdzić również, czy rury nie mają dziur i pęknięć. </w:t>
      </w:r>
    </w:p>
    <w:p w14:paraId="3F439BD2">
      <w:pPr>
        <w:numPr>
          <w:ilvl w:val="0"/>
          <w:numId w:val="56"/>
        </w:numPr>
        <w:spacing w:before="0" w:after="28"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rynien polega na stwierdzeniu zgodności z dokumentacją w zakresie wymiarów, rozstawu i wykonania rynien oraz połączeń ich poszczególnych odcinków i połączeń z rurami spustowymi. Należy sprawdzić rozmieszczenie uchwytów i sposobu wyrobienia w nich spadku podłużnego oraz usytuowania krawędzi zewnętrznej linii poziomej i linii stanowiącej przedłużenie powierzchni pokrycia. Należy również stwierdzić, czy rynny nie mają dziur i pęknięć. Sprawdzenie spadku i szczelności rynien może być dokonane przez nalanie do nich wody i kontrolę jej spływu oraz ewentualnych wycieków. Należy również sprawdzić wlewanie się wody z połaci do rynny (strumienie wody z połaci powinny spływać do rynny, a nie przelewać się poza zewnętrzną krawędzią rynny). </w:t>
      </w:r>
    </w:p>
    <w:p w14:paraId="11F5C3E3">
      <w:pPr>
        <w:numPr>
          <w:ilvl w:val="0"/>
          <w:numId w:val="56"/>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szczelności obróbek należy przeprowadzać w wybranych przez Inspektora nadzoru lub komisję miejscach spośród szczególnie narażonych na zatrzymywanie się i przeciekanie wody. Jeżeli nie ma warunków, aby sprawdzenie to przeprowadzić po deszczu, należy wybrane miejsca poddawać przez ok. 10 minut zraszaniu wodą w sposób podobny do działania deszczu, obserwując czy spływająca woda nie zatrzymuje się w tych miejscach albo nie przenika przez nie, tworząc zacieki. Stwierdzone usterki należy zaznaczyć w sposób trwały – umożliwiający odszukanie ich po wyschnięciu pokrycia. </w:t>
      </w:r>
    </w:p>
    <w:p w14:paraId="2A5EE42E">
      <w:pPr>
        <w:numPr>
          <w:ilvl w:val="0"/>
          <w:numId w:val="56"/>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prawidłowości spadków i szczelności pokrycia należy przeprowadzać głównie w miejscach narażonych na zatrzymywanie się wody (np. koryta, załamania, miejsca styku ze ścianami, kominami, oknami dachowymi i wyłazami, itp.). sprawdzenie szczelności pokrycia należy przeprowadzać bezpośrednio po obfitym opadzie deszczowym; sprawdzenie to można również wykonać przez poddanie wybranych miejsc działaniu strumienia wody przez okres nie krótszy niż 15 minut i obserwowanie czy spływająca woda nie zatrzymuje się na powierzchni pokrycia lub czy nie przenika przez nie i nie tworzy zacieków.  </w:t>
      </w:r>
    </w:p>
    <w:p w14:paraId="3564C243">
      <w:pPr>
        <w:numPr>
          <w:ilvl w:val="0"/>
          <w:numId w:val="56"/>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Zauważone usterki należy oznaczyć w sposób umożliwiający ich odszukanie i naprawy po wyschnięciu pokrycia. Jeżeli przeprowadzone badania dadzą wynik dodatni wykonane roboty pokrywcze dachów papą należy uznać za zgodne z wymaganiami norm i niniejszą ST. W przypadku, gdy chociaż jedno z badań dało wynik ujemny, całość robót pokrywczych lub tylko ich część nie spełniają wymagań należy uznać za niezgodną z wymaganiami normy i niniejszej ST; w tym przypadku Wykonawca obwiązany jest doprowadzić pokrycie dachowe do stanu odpowiadającego wymaganiom normy i ST i przedstawić je do ponownego odbioru, którego wynik jest ostateczny. </w:t>
      </w:r>
    </w:p>
    <w:p w14:paraId="24484AE2">
      <w:pPr>
        <w:spacing w:before="0" w:after="14"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1488BA11">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8.7 Obmiar robót </w:t>
      </w:r>
    </w:p>
    <w:p w14:paraId="6333E83C">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Obmiar robot będzie wykonywany zgodnie z wymaganiami określonymi w ST 00.00. </w:t>
      </w:r>
    </w:p>
    <w:p w14:paraId="6D3642BC">
      <w:pPr>
        <w:spacing w:before="0" w:after="2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Jednostką obmiarową robót jest : </w:t>
      </w:r>
    </w:p>
    <w:p w14:paraId="292A9F66">
      <w:pPr>
        <w:numPr>
          <w:ilvl w:val="0"/>
          <w:numId w:val="57"/>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m2 pokrycia o odpowiedniej grubości. </w:t>
      </w:r>
    </w:p>
    <w:p w14:paraId="5DB78FEE">
      <w:pPr>
        <w:numPr>
          <w:ilvl w:val="0"/>
          <w:numId w:val="57"/>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mb wykonanych rynien i rur spustowych </w:t>
      </w:r>
    </w:p>
    <w:p w14:paraId="509671E9">
      <w:pPr>
        <w:spacing w:before="0" w:after="14"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88885D4">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8.8 Odbiór robót </w:t>
      </w:r>
    </w:p>
    <w:p w14:paraId="509B5A0A">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Odbiór będzie wykonywany zgodnie z wymaganiami określonymi w ST 00.00 i pkt 7.6 Kontrola jakości. </w:t>
      </w:r>
    </w:p>
    <w:p w14:paraId="6871C055">
      <w:pPr>
        <w:spacing w:before="0" w:after="26"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Odbiorowi i sprawdzeniu będą podlegały: </w:t>
      </w:r>
    </w:p>
    <w:p w14:paraId="3B077E72">
      <w:pPr>
        <w:numPr>
          <w:ilvl w:val="0"/>
          <w:numId w:val="58"/>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Dostarczonych na budowę wyrobów budowlanych </w:t>
      </w:r>
    </w:p>
    <w:p w14:paraId="1A1C8409">
      <w:pPr>
        <w:numPr>
          <w:ilvl w:val="0"/>
          <w:numId w:val="58"/>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Kontroli robót zanikających </w:t>
      </w:r>
    </w:p>
    <w:p w14:paraId="359DE514">
      <w:pPr>
        <w:numPr>
          <w:ilvl w:val="0"/>
          <w:numId w:val="58"/>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Sprawdzenia spadków na dachu </w:t>
      </w:r>
    </w:p>
    <w:p w14:paraId="1CE0790D">
      <w:pPr>
        <w:numPr>
          <w:ilvl w:val="0"/>
          <w:numId w:val="58"/>
        </w:numPr>
        <w:spacing w:before="0" w:after="29"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poprawności wykonania obróbek blacharskich i prawidłowości ich „połączeń” z pokryciem dachu </w:t>
      </w:r>
    </w:p>
    <w:p w14:paraId="3CBAB0FB">
      <w:pPr>
        <w:numPr>
          <w:ilvl w:val="0"/>
          <w:numId w:val="58"/>
        </w:numPr>
        <w:spacing w:before="0" w:after="28"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w:t>
      </w:r>
      <w:r>
        <w:rPr>
          <w:rFonts w:ascii="Arial" w:hAnsi="Arial" w:eastAsia="Arial" w:cs="Arial"/>
          <w:color w:val="000000"/>
          <w:spacing w:val="0"/>
          <w:sz w:val="20"/>
          <w:shd w:val="clear" w:fill="FFFFFF"/>
        </w:rPr>
        <w:tab/>
      </w:r>
      <w:r>
        <w:rPr>
          <w:rFonts w:ascii="Arial" w:hAnsi="Arial" w:eastAsia="Arial" w:cs="Arial"/>
          <w:color w:val="000000"/>
          <w:spacing w:val="0"/>
          <w:sz w:val="20"/>
          <w:shd w:val="clear" w:fill="FFFFFF"/>
        </w:rPr>
        <w:t xml:space="preserve">zastosowania </w:t>
      </w:r>
      <w:r>
        <w:rPr>
          <w:rFonts w:ascii="Arial" w:hAnsi="Arial" w:eastAsia="Arial" w:cs="Arial"/>
          <w:color w:val="000000"/>
          <w:spacing w:val="0"/>
          <w:sz w:val="20"/>
          <w:shd w:val="clear" w:fill="FFFFFF"/>
        </w:rPr>
        <w:tab/>
      </w:r>
      <w:r>
        <w:rPr>
          <w:rFonts w:ascii="Arial" w:hAnsi="Arial" w:eastAsia="Arial" w:cs="Arial"/>
          <w:color w:val="000000"/>
          <w:spacing w:val="0"/>
          <w:sz w:val="20"/>
          <w:shd w:val="clear" w:fill="FFFFFF"/>
        </w:rPr>
        <w:t xml:space="preserve">akcesoriów </w:t>
      </w:r>
      <w:r>
        <w:rPr>
          <w:rFonts w:ascii="Arial" w:hAnsi="Arial" w:eastAsia="Arial" w:cs="Arial"/>
          <w:color w:val="000000"/>
          <w:spacing w:val="0"/>
          <w:sz w:val="20"/>
          <w:shd w:val="clear" w:fill="FFFFFF"/>
        </w:rPr>
        <w:tab/>
      </w:r>
      <w:r>
        <w:rPr>
          <w:rFonts w:ascii="Arial" w:hAnsi="Arial" w:eastAsia="Arial" w:cs="Arial"/>
          <w:color w:val="000000"/>
          <w:spacing w:val="0"/>
          <w:sz w:val="20"/>
          <w:shd w:val="clear" w:fill="FFFFFF"/>
        </w:rPr>
        <w:t xml:space="preserve">przy </w:t>
      </w:r>
      <w:r>
        <w:rPr>
          <w:rFonts w:ascii="Arial" w:hAnsi="Arial" w:eastAsia="Arial" w:cs="Arial"/>
          <w:color w:val="000000"/>
          <w:spacing w:val="0"/>
          <w:sz w:val="20"/>
          <w:shd w:val="clear" w:fill="FFFFFF"/>
        </w:rPr>
        <w:tab/>
      </w:r>
      <w:r>
        <w:rPr>
          <w:rFonts w:ascii="Arial" w:hAnsi="Arial" w:eastAsia="Arial" w:cs="Arial"/>
          <w:color w:val="000000"/>
          <w:spacing w:val="0"/>
          <w:sz w:val="20"/>
          <w:shd w:val="clear" w:fill="FFFFFF"/>
        </w:rPr>
        <w:t xml:space="preserve">wykonaniu </w:t>
      </w:r>
      <w:r>
        <w:rPr>
          <w:rFonts w:ascii="Arial" w:hAnsi="Arial" w:eastAsia="Arial" w:cs="Arial"/>
          <w:color w:val="000000"/>
          <w:spacing w:val="0"/>
          <w:sz w:val="20"/>
          <w:shd w:val="clear" w:fill="FFFFFF"/>
        </w:rPr>
        <w:tab/>
      </w:r>
      <w:r>
        <w:rPr>
          <w:rFonts w:ascii="Arial" w:hAnsi="Arial" w:eastAsia="Arial" w:cs="Arial"/>
          <w:color w:val="000000"/>
          <w:spacing w:val="0"/>
          <w:sz w:val="20"/>
          <w:shd w:val="clear" w:fill="FFFFFF"/>
        </w:rPr>
        <w:t xml:space="preserve">dachu </w:t>
      </w:r>
      <w:r>
        <w:rPr>
          <w:rFonts w:ascii="Arial" w:hAnsi="Arial" w:eastAsia="Arial" w:cs="Arial"/>
          <w:color w:val="000000"/>
          <w:spacing w:val="0"/>
          <w:sz w:val="20"/>
          <w:shd w:val="clear" w:fill="FFFFFF"/>
        </w:rPr>
        <w:tab/>
      </w:r>
      <w:r>
        <w:rPr>
          <w:rFonts w:ascii="Arial" w:hAnsi="Arial" w:eastAsia="Arial" w:cs="Arial"/>
          <w:color w:val="000000"/>
          <w:spacing w:val="0"/>
          <w:sz w:val="20"/>
          <w:shd w:val="clear" w:fill="FFFFFF"/>
        </w:rPr>
        <w:t xml:space="preserve">zgodnie </w:t>
      </w:r>
      <w:r>
        <w:rPr>
          <w:rFonts w:ascii="Arial" w:hAnsi="Arial" w:eastAsia="Arial" w:cs="Arial"/>
          <w:color w:val="000000"/>
          <w:spacing w:val="0"/>
          <w:sz w:val="20"/>
          <w:shd w:val="clear" w:fill="FFFFFF"/>
        </w:rPr>
        <w:tab/>
      </w:r>
      <w:r>
        <w:rPr>
          <w:rFonts w:ascii="Arial" w:hAnsi="Arial" w:eastAsia="Arial" w:cs="Arial"/>
          <w:color w:val="000000"/>
          <w:spacing w:val="0"/>
          <w:sz w:val="20"/>
          <w:shd w:val="clear" w:fill="FFFFFF"/>
        </w:rPr>
        <w:t xml:space="preserve">z </w:t>
      </w:r>
      <w:r>
        <w:rPr>
          <w:rFonts w:ascii="Arial" w:hAnsi="Arial" w:eastAsia="Arial" w:cs="Arial"/>
          <w:color w:val="000000"/>
          <w:spacing w:val="0"/>
          <w:sz w:val="20"/>
          <w:shd w:val="clear" w:fill="FFFFFF"/>
        </w:rPr>
        <w:tab/>
      </w:r>
      <w:r>
        <w:rPr>
          <w:rFonts w:ascii="Arial" w:hAnsi="Arial" w:eastAsia="Arial" w:cs="Arial"/>
          <w:color w:val="000000"/>
          <w:spacing w:val="0"/>
          <w:sz w:val="20"/>
          <w:shd w:val="clear" w:fill="FFFFFF"/>
        </w:rPr>
        <w:t xml:space="preserve">wymogami technologicznymi </w:t>
      </w:r>
    </w:p>
    <w:p w14:paraId="6B834679">
      <w:pPr>
        <w:numPr>
          <w:ilvl w:val="0"/>
          <w:numId w:val="58"/>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Sprawdzenia ciągłości warstwy izolacyjnej i dokładności jej połączenia z podłożem </w:t>
      </w:r>
    </w:p>
    <w:p w14:paraId="21D086D8">
      <w:pPr>
        <w:numPr>
          <w:ilvl w:val="0"/>
          <w:numId w:val="58"/>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-Poprawności wykonania wszystkich izolacji; grubość warstw </w:t>
      </w:r>
    </w:p>
    <w:p w14:paraId="34821FBC">
      <w:pPr>
        <w:numPr>
          <w:ilvl w:val="0"/>
          <w:numId w:val="58"/>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Sprawdzenie mocowania, łączenia arkuszy z blachy – obróbki blacharskie </w:t>
      </w:r>
    </w:p>
    <w:p w14:paraId="7F324699">
      <w:pPr>
        <w:numPr>
          <w:ilvl w:val="0"/>
          <w:numId w:val="58"/>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Ogólne warunki odbioru określone w STB 00.00 </w:t>
      </w:r>
    </w:p>
    <w:p w14:paraId="2272E41A">
      <w:pPr>
        <w:spacing w:before="0" w:after="15"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DF9AB25">
      <w:pPr>
        <w:numPr>
          <w:ilvl w:val="0"/>
          <w:numId w:val="59"/>
        </w:numPr>
        <w:spacing w:before="0" w:after="5" w:line="267" w:lineRule="exact"/>
        <w:ind w:left="924" w:right="10" w:hanging="444"/>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Podstawa płatności </w:t>
      </w:r>
    </w:p>
    <w:p w14:paraId="3D2529CE">
      <w:pPr>
        <w:spacing w:before="0" w:after="5" w:line="267" w:lineRule="exact"/>
        <w:ind w:left="490" w:right="10" w:hanging="1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Płatności realizowane zgodnie z wymaganiami określonymi w ST 00.00 </w:t>
      </w:r>
    </w:p>
    <w:p w14:paraId="6E1561DD">
      <w:pPr>
        <w:spacing w:before="0" w:after="16"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00370E7">
      <w:pPr>
        <w:numPr>
          <w:ilvl w:val="0"/>
          <w:numId w:val="60"/>
        </w:numPr>
        <w:spacing w:before="0" w:after="5" w:line="267" w:lineRule="exact"/>
        <w:ind w:left="924" w:right="10" w:hanging="444"/>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Przepisy związane </w:t>
      </w:r>
    </w:p>
    <w:p w14:paraId="195B9A6A">
      <w:pPr>
        <w:numPr>
          <w:ilvl w:val="0"/>
          <w:numId w:val="60"/>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PN-69/B-10260 Izolacje bitumiczne. Wymagania i badania przy odbiorze. </w:t>
      </w:r>
    </w:p>
    <w:p w14:paraId="410A7632">
      <w:pPr>
        <w:numPr>
          <w:ilvl w:val="0"/>
          <w:numId w:val="60"/>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PN-77/B-27604 Materiały izolacji przeciwwilgociowej </w:t>
      </w:r>
    </w:p>
    <w:p w14:paraId="7FDD17BA">
      <w:pPr>
        <w:numPr>
          <w:ilvl w:val="0"/>
          <w:numId w:val="60"/>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PN-EN 13467:2003 Wyroby do izolacji cieplnej </w:t>
      </w:r>
    </w:p>
    <w:p w14:paraId="27A778E2">
      <w:pPr>
        <w:numPr>
          <w:ilvl w:val="0"/>
          <w:numId w:val="60"/>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PN-91/B-27618 Papa asfaltowa zgrzewalna na osnowie zdwojonej przeszywanej z tkaniny szklanej i welonu szklanego. </w:t>
      </w:r>
    </w:p>
    <w:p w14:paraId="4916C69D">
      <w:pPr>
        <w:numPr>
          <w:ilvl w:val="0"/>
          <w:numId w:val="60"/>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PN-74/B-24622 Roztwór asfaltowy do gruntowania </w:t>
      </w:r>
    </w:p>
    <w:p w14:paraId="2A89501D">
      <w:pPr>
        <w:numPr>
          <w:ilvl w:val="0"/>
          <w:numId w:val="60"/>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PN-74/B-24620 Lepik asfaltowy stosowany na zimno </w:t>
      </w:r>
    </w:p>
    <w:p w14:paraId="522F2C2D">
      <w:pPr>
        <w:numPr>
          <w:ilvl w:val="0"/>
          <w:numId w:val="60"/>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PN-77/B-27604 Materiały izolacji przeciwwilgociowej </w:t>
      </w:r>
    </w:p>
    <w:p w14:paraId="1D36E297">
      <w:pPr>
        <w:numPr>
          <w:ilvl w:val="0"/>
          <w:numId w:val="60"/>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PN-61/B-10245 Roboty blacharskie budowlane z blachy stalowej ocynkowanej i cynkowej. Wymagania i badania techniczne przy odbiorze. </w:t>
      </w:r>
    </w:p>
    <w:p w14:paraId="71B88400">
      <w:pPr>
        <w:numPr>
          <w:ilvl w:val="0"/>
          <w:numId w:val="60"/>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PN-B-02361:1999 Pochylenia połaci dachowych. </w:t>
      </w:r>
    </w:p>
    <w:p w14:paraId="42FDE0D3">
      <w:pPr>
        <w:numPr>
          <w:ilvl w:val="0"/>
          <w:numId w:val="60"/>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PN-61/B-10245 Roboty blacharskie budowlane z blachy stalowej ocynkowanej i cynkowej. Wymagania i badania techniczne przy odbiorze. </w:t>
      </w:r>
    </w:p>
    <w:p w14:paraId="5E2E97B5">
      <w:pPr>
        <w:numPr>
          <w:ilvl w:val="0"/>
          <w:numId w:val="60"/>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PN-EN 508-1:2002 Wyroby do pokryć dachowych z metalu. Charakterystyka wyrobów samonośnych z blachy stalowej, aluminiowej lub ze stali odpornej na korozję. Część 1; Stal. </w:t>
      </w:r>
    </w:p>
    <w:p w14:paraId="70E2BD3D">
      <w:pPr>
        <w:numPr>
          <w:ilvl w:val="0"/>
          <w:numId w:val="60"/>
        </w:numPr>
        <w:spacing w:before="0" w:after="5" w:line="267"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PN-EN 508-2:2002 Wyroby do pokryć dachowych z metalu. Charakterystyka wyrobów samonośnych z blachy stalowej, aluminiowej lub ze stali odpornej na korozję. Część 2: Aluminium. </w:t>
      </w:r>
    </w:p>
    <w:p w14:paraId="012D027C">
      <w:pPr>
        <w:numPr>
          <w:ilvl w:val="0"/>
          <w:numId w:val="60"/>
        </w:numPr>
        <w:spacing w:before="0" w:after="0" w:line="259" w:lineRule="exact"/>
        <w:ind w:left="1215" w:right="10" w:hanging="360"/>
        <w:jc w:val="both"/>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PN-EN 508-3:2002 Wyroby do pokryć dachowych z metalu. Charakterystyka wyrobów samonośnych z blachy stalowej, aluminiowej lub ze stali odpornej na korozję. Część 3: Stal odporna na korozji. </w:t>
      </w:r>
    </w:p>
    <w:p w14:paraId="13142A2C">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26E5DBA">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D9C3FEF">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b/>
          <w:color w:val="000000"/>
          <w:spacing w:val="0"/>
          <w:sz w:val="20"/>
          <w:shd w:val="clear" w:fill="FFFFFF"/>
        </w:rPr>
        <w:t xml:space="preserve"> </w:t>
      </w:r>
    </w:p>
    <w:p w14:paraId="347FCA27">
      <w:pPr>
        <w:keepNext/>
        <w:keepLines/>
        <w:spacing w:before="0" w:after="0" w:line="259" w:lineRule="exact"/>
        <w:ind w:left="495" w:right="0" w:firstLine="0"/>
        <w:jc w:val="left"/>
        <w:rPr>
          <w:sz w:val="20"/>
          <w:szCs w:val="20"/>
        </w:rPr>
      </w:pPr>
    </w:p>
    <w:p w14:paraId="0F8DFDB6">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7DCCC195">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E8A3E4C">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BCC6458">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314EF04F">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39C3B79">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06726169">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404FF1AE">
      <w:pPr>
        <w:spacing w:before="0" w:after="0" w:line="259" w:lineRule="exact"/>
        <w:ind w:left="495" w:right="0" w:firstLine="0"/>
        <w:jc w:val="left"/>
        <w:rPr>
          <w:rFonts w:ascii="Arial" w:hAnsi="Arial" w:eastAsia="Arial" w:cs="Arial"/>
          <w:color w:val="000000"/>
          <w:spacing w:val="0"/>
          <w:sz w:val="20"/>
          <w:highlight w:val="white"/>
        </w:rPr>
      </w:pPr>
      <w:r>
        <w:rPr>
          <w:rFonts w:ascii="Arial" w:hAnsi="Arial" w:eastAsia="Arial" w:cs="Arial"/>
          <w:color w:val="000000"/>
          <w:spacing w:val="0"/>
          <w:sz w:val="20"/>
          <w:shd w:val="clear" w:fill="FFFFFF"/>
        </w:rPr>
        <w:t xml:space="preserve"> </w:t>
      </w:r>
    </w:p>
    <w:p w14:paraId="277362EB">
      <w:pPr>
        <w:spacing w:before="0" w:after="0" w:line="259" w:lineRule="exact"/>
        <w:ind w:left="495" w:right="0" w:firstLine="0"/>
        <w:jc w:val="left"/>
      </w:pPr>
      <w:r>
        <w:rPr>
          <w:rFonts w:ascii="Arial" w:hAnsi="Arial" w:eastAsia="Arial" w:cs="Arial"/>
          <w:color w:val="000000"/>
          <w:spacing w:val="0"/>
          <w:sz w:val="20"/>
          <w:shd w:val="clear" w:fill="FFFFFF"/>
        </w:rPr>
        <w:t xml:space="preserve"> </w:t>
      </w:r>
    </w:p>
    <w:sectPr>
      <w:pgSz w:w="12240" w:h="15840"/>
      <w:pgMar w:top="1440" w:right="1800" w:bottom="1440" w:left="1800" w:header="0" w:footer="0" w:gutter="0"/>
      <w:pgNumType w:fmt="decimal"/>
      <w:cols w:space="720" w:num="1"/>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iberation Serif">
    <w:altName w:val="Times New Roman"/>
    <w:panose1 w:val="00000000000000000000"/>
    <w:charset w:val="EE"/>
    <w:family w:val="roman"/>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Liberation Sans">
    <w:altName w:val="Arial"/>
    <w:panose1 w:val="00000000000000000000"/>
    <w:charset w:val="EE"/>
    <w:family w:val="roman"/>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Trebuchet MS">
    <w:panose1 w:val="020B0603020202020204"/>
    <w:charset w:val="EE"/>
    <w:family w:val="swiss"/>
    <w:pitch w:val="default"/>
    <w:sig w:usb0="00000687" w:usb1="00000000" w:usb2="00000000" w:usb3="00000000" w:csb0="2000009F" w:csb1="00000000"/>
  </w:font>
  <w:font w:name="Cambria">
    <w:panose1 w:val="02040503050406030204"/>
    <w:charset w:val="EE"/>
    <w:family w:val="roman"/>
    <w:pitch w:val="default"/>
    <w:sig w:usb0="E00006FF" w:usb1="420024FF" w:usb2="02000000" w:usb3="00000000" w:csb0="2000019F" w:csb1="00000000"/>
  </w:font>
  <w:font w:name="Segoe UI Symbol">
    <w:panose1 w:val="020B0502040204020203"/>
    <w:charset w:val="EE"/>
    <w:family w:val="roman"/>
    <w:pitch w:val="default"/>
    <w:sig w:usb0="800001E3" w:usb1="1200FFEF" w:usb2="00040000" w:usb3="04000000"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
    <w:nsid w:val="845B5372"/>
    <w:multiLevelType w:val="multilevel"/>
    <w:tmpl w:val="845B5372"/>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
    <w:nsid w:val="8461FADE"/>
    <w:multiLevelType w:val="multilevel"/>
    <w:tmpl w:val="8461FADE"/>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
    <w:nsid w:val="8CAEB125"/>
    <w:multiLevelType w:val="multilevel"/>
    <w:tmpl w:val="8CAEB125"/>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
    <w:nsid w:val="91995D4F"/>
    <w:multiLevelType w:val="multilevel"/>
    <w:tmpl w:val="91995D4F"/>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
    <w:nsid w:val="9239341B"/>
    <w:multiLevelType w:val="multilevel"/>
    <w:tmpl w:val="9239341B"/>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6">
    <w:nsid w:val="9288B902"/>
    <w:multiLevelType w:val="multilevel"/>
    <w:tmpl w:val="9288B902"/>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7">
    <w:nsid w:val="9C8AC8EF"/>
    <w:multiLevelType w:val="multilevel"/>
    <w:tmpl w:val="9C8AC8EF"/>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8">
    <w:nsid w:val="B0F1ACD9"/>
    <w:multiLevelType w:val="multilevel"/>
    <w:tmpl w:val="B0F1ACD9"/>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
    <w:nsid w:val="B53F3350"/>
    <w:multiLevelType w:val="multilevel"/>
    <w:tmpl w:val="B53F3350"/>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0">
    <w:nsid w:val="B5E306ED"/>
    <w:multiLevelType w:val="multilevel"/>
    <w:tmpl w:val="B5E306ED"/>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1">
    <w:nsid w:val="B8CEF35B"/>
    <w:multiLevelType w:val="multilevel"/>
    <w:tmpl w:val="B8CEF35B"/>
    <w:lvl w:ilvl="0" w:tentative="0">
      <w:start w:val="1"/>
      <w:numFmt w:val="bullet"/>
      <w:lvlText w:val=""/>
      <w:lvlJc w:val="left"/>
      <w:pPr>
        <w:ind w:left="720" w:hanging="360"/>
      </w:pPr>
      <w:rPr>
        <w:rFonts w:hint="default" w:ascii="Symbol" w:hAnsi="Symbol" w:cs="Symbol"/>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2">
    <w:nsid w:val="BB64CFA9"/>
    <w:multiLevelType w:val="multilevel"/>
    <w:tmpl w:val="BB64CFA9"/>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3">
    <w:nsid w:val="BE923771"/>
    <w:multiLevelType w:val="multilevel"/>
    <w:tmpl w:val="BE923771"/>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4">
    <w:nsid w:val="BF205925"/>
    <w:multiLevelType w:val="multilevel"/>
    <w:tmpl w:val="BF205925"/>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5">
    <w:nsid w:val="CF092B84"/>
    <w:multiLevelType w:val="multilevel"/>
    <w:tmpl w:val="CF092B84"/>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6">
    <w:nsid w:val="D7D140E4"/>
    <w:multiLevelType w:val="multilevel"/>
    <w:tmpl w:val="D7D140E4"/>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7">
    <w:nsid w:val="D7F9FE59"/>
    <w:multiLevelType w:val="multilevel"/>
    <w:tmpl w:val="D7F9FE59"/>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8">
    <w:nsid w:val="DCBA6B53"/>
    <w:multiLevelType w:val="multilevel"/>
    <w:tmpl w:val="DCBA6B53"/>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9">
    <w:nsid w:val="E093A4B0"/>
    <w:multiLevelType w:val="multilevel"/>
    <w:tmpl w:val="E093A4B0"/>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0">
    <w:nsid w:val="F0E89278"/>
    <w:multiLevelType w:val="multilevel"/>
    <w:tmpl w:val="F0E89278"/>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1">
    <w:nsid w:val="F4B5D9F5"/>
    <w:multiLevelType w:val="multilevel"/>
    <w:tmpl w:val="F4B5D9F5"/>
    <w:lvl w:ilvl="0" w:tentative="0">
      <w:start w:val="1"/>
      <w:numFmt w:val="bullet"/>
      <w:lvlText w:val=""/>
      <w:lvlJc w:val="left"/>
      <w:pPr>
        <w:ind w:left="720" w:hanging="360"/>
      </w:pPr>
      <w:rPr>
        <w:rFonts w:hint="default" w:ascii="Symbol" w:hAnsi="Symbol" w:cs="Symbol"/>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2">
    <w:nsid w:val="F7735DC9"/>
    <w:multiLevelType w:val="multilevel"/>
    <w:tmpl w:val="F7735DC9"/>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3">
    <w:nsid w:val="0053208E"/>
    <w:multiLevelType w:val="multilevel"/>
    <w:tmpl w:val="0053208E"/>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4">
    <w:nsid w:val="0248C179"/>
    <w:multiLevelType w:val="multilevel"/>
    <w:tmpl w:val="0248C179"/>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5">
    <w:nsid w:val="03D62ECE"/>
    <w:multiLevelType w:val="multilevel"/>
    <w:tmpl w:val="03D62ECE"/>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6">
    <w:nsid w:val="0709FD3E"/>
    <w:multiLevelType w:val="multilevel"/>
    <w:tmpl w:val="0709FD3E"/>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7">
    <w:nsid w:val="0CEF100B"/>
    <w:multiLevelType w:val="multilevel"/>
    <w:tmpl w:val="0CEF100B"/>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8">
    <w:nsid w:val="0E640482"/>
    <w:multiLevelType w:val="multilevel"/>
    <w:tmpl w:val="0E640482"/>
    <w:lvl w:ilvl="0" w:tentative="0">
      <w:start w:val="1"/>
      <w:numFmt w:val="bullet"/>
      <w:lvlText w:val=""/>
      <w:lvlJc w:val="left"/>
      <w:pPr>
        <w:ind w:left="720" w:hanging="360"/>
      </w:pPr>
      <w:rPr>
        <w:rFonts w:hint="default" w:ascii="Symbol" w:hAnsi="Symbol" w:cs="Symbol"/>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9">
    <w:nsid w:val="1ACDE60F"/>
    <w:multiLevelType w:val="multilevel"/>
    <w:tmpl w:val="1ACDE60F"/>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0">
    <w:nsid w:val="1C257C7B"/>
    <w:multiLevelType w:val="multilevel"/>
    <w:tmpl w:val="1C257C7B"/>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1">
    <w:nsid w:val="23E97754"/>
    <w:multiLevelType w:val="multilevel"/>
    <w:tmpl w:val="23E97754"/>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2">
    <w:nsid w:val="243FCF68"/>
    <w:multiLevelType w:val="multilevel"/>
    <w:tmpl w:val="243FCF68"/>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3">
    <w:nsid w:val="2470EC97"/>
    <w:multiLevelType w:val="multilevel"/>
    <w:tmpl w:val="2470EC97"/>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4">
    <w:nsid w:val="25B654F3"/>
    <w:multiLevelType w:val="multilevel"/>
    <w:tmpl w:val="25B654F3"/>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5">
    <w:nsid w:val="2A8F537B"/>
    <w:multiLevelType w:val="multilevel"/>
    <w:tmpl w:val="2A8F537B"/>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6">
    <w:nsid w:val="30FC5B15"/>
    <w:multiLevelType w:val="multilevel"/>
    <w:tmpl w:val="30FC5B15"/>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7">
    <w:nsid w:val="322D85CA"/>
    <w:multiLevelType w:val="multilevel"/>
    <w:tmpl w:val="322D85CA"/>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8">
    <w:nsid w:val="32A7AF2D"/>
    <w:multiLevelType w:val="multilevel"/>
    <w:tmpl w:val="32A7AF2D"/>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9">
    <w:nsid w:val="39A0D9AC"/>
    <w:multiLevelType w:val="multilevel"/>
    <w:tmpl w:val="39A0D9AC"/>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0">
    <w:nsid w:val="40B249F9"/>
    <w:multiLevelType w:val="multilevel"/>
    <w:tmpl w:val="40B249F9"/>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1">
    <w:nsid w:val="46A08BB8"/>
    <w:multiLevelType w:val="multilevel"/>
    <w:tmpl w:val="46A08BB8"/>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2">
    <w:nsid w:val="4C1BAE26"/>
    <w:multiLevelType w:val="multilevel"/>
    <w:tmpl w:val="4C1BAE26"/>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3">
    <w:nsid w:val="4C3D7A74"/>
    <w:multiLevelType w:val="multilevel"/>
    <w:tmpl w:val="4C3D7A74"/>
    <w:lvl w:ilvl="0" w:tentative="0">
      <w:start w:val="1"/>
      <w:numFmt w:val="bullet"/>
      <w:lvlText w:val=""/>
      <w:lvlJc w:val="left"/>
      <w:pPr>
        <w:ind w:left="720" w:hanging="360"/>
      </w:pPr>
      <w:rPr>
        <w:rFonts w:hint="default" w:ascii="Symbol" w:hAnsi="Symbol" w:cs="Symbol"/>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4">
    <w:nsid w:val="4D4DC07F"/>
    <w:multiLevelType w:val="multilevel"/>
    <w:tmpl w:val="4D4DC07F"/>
    <w:lvl w:ilvl="0" w:tentative="0">
      <w:start w:val="1"/>
      <w:numFmt w:val="bullet"/>
      <w:lvlText w:val=""/>
      <w:lvlJc w:val="left"/>
      <w:pPr>
        <w:ind w:left="720" w:hanging="360"/>
      </w:pPr>
      <w:rPr>
        <w:rFonts w:hint="default" w:ascii="Symbol" w:hAnsi="Symbol" w:cs="Symbol"/>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5">
    <w:nsid w:val="4D94DA66"/>
    <w:multiLevelType w:val="multilevel"/>
    <w:tmpl w:val="4D94DA66"/>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6">
    <w:nsid w:val="58765686"/>
    <w:multiLevelType w:val="multilevel"/>
    <w:tmpl w:val="58765686"/>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7">
    <w:nsid w:val="59ADCABA"/>
    <w:multiLevelType w:val="multilevel"/>
    <w:tmpl w:val="59ADCABA"/>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8">
    <w:nsid w:val="5A241D34"/>
    <w:multiLevelType w:val="multilevel"/>
    <w:tmpl w:val="5A241D34"/>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9">
    <w:nsid w:val="5E29AB5A"/>
    <w:multiLevelType w:val="multilevel"/>
    <w:tmpl w:val="5E29AB5A"/>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0">
    <w:nsid w:val="5FFFB1A7"/>
    <w:multiLevelType w:val="multilevel"/>
    <w:tmpl w:val="5FFFB1A7"/>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1">
    <w:nsid w:val="60382F6E"/>
    <w:multiLevelType w:val="multilevel"/>
    <w:tmpl w:val="60382F6E"/>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2">
    <w:nsid w:val="629F7852"/>
    <w:multiLevelType w:val="multilevel"/>
    <w:tmpl w:val="629F7852"/>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3">
    <w:nsid w:val="65CD0074"/>
    <w:multiLevelType w:val="multilevel"/>
    <w:tmpl w:val="65CD0074"/>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4">
    <w:nsid w:val="72183CF9"/>
    <w:multiLevelType w:val="multilevel"/>
    <w:tmpl w:val="72183CF9"/>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5">
    <w:nsid w:val="74C28B35"/>
    <w:multiLevelType w:val="multilevel"/>
    <w:tmpl w:val="74C28B35"/>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6">
    <w:nsid w:val="77ECEA79"/>
    <w:multiLevelType w:val="multilevel"/>
    <w:tmpl w:val="77ECEA79"/>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7">
    <w:nsid w:val="79AA4FA4"/>
    <w:multiLevelType w:val="multilevel"/>
    <w:tmpl w:val="79AA4FA4"/>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8">
    <w:nsid w:val="7C246926"/>
    <w:multiLevelType w:val="multilevel"/>
    <w:tmpl w:val="7C246926"/>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9">
    <w:nsid w:val="7DEC2089"/>
    <w:multiLevelType w:val="multilevel"/>
    <w:tmpl w:val="7DEC2089"/>
    <w:lvl w:ilvl="0" w:tentative="0">
      <w:start w:val="1"/>
      <w:numFmt w:val="bullet"/>
      <w:lvlText w:val=""/>
      <w:lvlJc w:val="left"/>
      <w:pPr>
        <w:ind w:left="720" w:hanging="360"/>
      </w:pPr>
      <w:rPr>
        <w:rFonts w:hint="default" w:ascii="Symbol" w:hAnsi="Symbol" w:cs="Symbol"/>
        <w:sz w:val="20"/>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23"/>
  </w:num>
  <w:num w:numId="2">
    <w:abstractNumId w:val="15"/>
  </w:num>
  <w:num w:numId="3">
    <w:abstractNumId w:val="47"/>
  </w:num>
  <w:num w:numId="4">
    <w:abstractNumId w:val="14"/>
  </w:num>
  <w:num w:numId="5">
    <w:abstractNumId w:val="10"/>
  </w:num>
  <w:num w:numId="6">
    <w:abstractNumId w:val="25"/>
  </w:num>
  <w:num w:numId="7">
    <w:abstractNumId w:val="34"/>
  </w:num>
  <w:num w:numId="8">
    <w:abstractNumId w:val="54"/>
  </w:num>
  <w:num w:numId="9">
    <w:abstractNumId w:val="24"/>
  </w:num>
  <w:num w:numId="10">
    <w:abstractNumId w:val="5"/>
  </w:num>
  <w:num w:numId="11">
    <w:abstractNumId w:val="35"/>
  </w:num>
  <w:num w:numId="12">
    <w:abstractNumId w:val="48"/>
  </w:num>
  <w:num w:numId="13">
    <w:abstractNumId w:val="44"/>
  </w:num>
  <w:num w:numId="14">
    <w:abstractNumId w:val="21"/>
  </w:num>
  <w:num w:numId="15">
    <w:abstractNumId w:val="33"/>
  </w:num>
  <w:num w:numId="16">
    <w:abstractNumId w:val="18"/>
  </w:num>
  <w:num w:numId="17">
    <w:abstractNumId w:val="17"/>
  </w:num>
  <w:num w:numId="18">
    <w:abstractNumId w:val="7"/>
  </w:num>
  <w:num w:numId="19">
    <w:abstractNumId w:val="42"/>
  </w:num>
  <w:num w:numId="20">
    <w:abstractNumId w:val="51"/>
  </w:num>
  <w:num w:numId="21">
    <w:abstractNumId w:val="28"/>
  </w:num>
  <w:num w:numId="22">
    <w:abstractNumId w:val="41"/>
  </w:num>
  <w:num w:numId="23">
    <w:abstractNumId w:val="8"/>
  </w:num>
  <w:num w:numId="24">
    <w:abstractNumId w:val="58"/>
  </w:num>
  <w:num w:numId="25">
    <w:abstractNumId w:val="56"/>
  </w:num>
  <w:num w:numId="26">
    <w:abstractNumId w:val="13"/>
  </w:num>
  <w:num w:numId="27">
    <w:abstractNumId w:val="52"/>
  </w:num>
  <w:num w:numId="28">
    <w:abstractNumId w:val="6"/>
  </w:num>
  <w:num w:numId="29">
    <w:abstractNumId w:val="39"/>
  </w:num>
  <w:num w:numId="30">
    <w:abstractNumId w:val="2"/>
  </w:num>
  <w:num w:numId="31">
    <w:abstractNumId w:val="46"/>
  </w:num>
  <w:num w:numId="32">
    <w:abstractNumId w:val="59"/>
  </w:num>
  <w:num w:numId="33">
    <w:abstractNumId w:val="0"/>
  </w:num>
  <w:num w:numId="34">
    <w:abstractNumId w:val="32"/>
  </w:num>
  <w:num w:numId="35">
    <w:abstractNumId w:val="45"/>
  </w:num>
  <w:num w:numId="36">
    <w:abstractNumId w:val="22"/>
  </w:num>
  <w:num w:numId="37">
    <w:abstractNumId w:val="19"/>
  </w:num>
  <w:num w:numId="38">
    <w:abstractNumId w:val="36"/>
  </w:num>
  <w:num w:numId="39">
    <w:abstractNumId w:val="57"/>
  </w:num>
  <w:num w:numId="40">
    <w:abstractNumId w:val="12"/>
  </w:num>
  <w:num w:numId="41">
    <w:abstractNumId w:val="4"/>
  </w:num>
  <w:num w:numId="42">
    <w:abstractNumId w:val="11"/>
  </w:num>
  <w:num w:numId="43">
    <w:abstractNumId w:val="49"/>
  </w:num>
  <w:num w:numId="44">
    <w:abstractNumId w:val="1"/>
  </w:num>
  <w:num w:numId="45">
    <w:abstractNumId w:val="29"/>
  </w:num>
  <w:num w:numId="46">
    <w:abstractNumId w:val="3"/>
  </w:num>
  <w:num w:numId="47">
    <w:abstractNumId w:val="50"/>
  </w:num>
  <w:num w:numId="48">
    <w:abstractNumId w:val="55"/>
  </w:num>
  <w:num w:numId="49">
    <w:abstractNumId w:val="43"/>
  </w:num>
  <w:num w:numId="50">
    <w:abstractNumId w:val="37"/>
  </w:num>
  <w:num w:numId="51">
    <w:abstractNumId w:val="53"/>
  </w:num>
  <w:num w:numId="52">
    <w:abstractNumId w:val="26"/>
  </w:num>
  <w:num w:numId="53">
    <w:abstractNumId w:val="27"/>
  </w:num>
  <w:num w:numId="54">
    <w:abstractNumId w:val="16"/>
  </w:num>
  <w:num w:numId="55">
    <w:abstractNumId w:val="38"/>
  </w:num>
  <w:num w:numId="56">
    <w:abstractNumId w:val="30"/>
  </w:num>
  <w:num w:numId="57">
    <w:abstractNumId w:val="20"/>
  </w:num>
  <w:num w:numId="58">
    <w:abstractNumId w:val="31"/>
  </w:num>
  <w:num w:numId="59">
    <w:abstractNumId w:val="9"/>
  </w:num>
  <w:num w:numId="6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9"/>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343932"/>
    <w:rsid w:val="5B475CE1"/>
  </w:rsids>
  <m:mathPr>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Liberation Serif" w:hAnsi="Liberation Serif" w:eastAsia="SimSun"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bidi w:val="0"/>
      <w:jc w:val="left"/>
    </w:pPr>
    <w:rPr>
      <w:rFonts w:ascii="Liberation Serif" w:hAnsi="Liberation Serif" w:eastAsia="SimSun" w:cs="Arial"/>
      <w:color w:val="00000A"/>
      <w:sz w:val="24"/>
      <w:szCs w:val="24"/>
      <w:lang w:val="pl-PL" w:eastAsia="zh-CN" w:bidi="hi-IN"/>
    </w:rPr>
  </w:style>
  <w:style w:type="character" w:default="1" w:styleId="2">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Body Text"/>
    <w:basedOn w:val="1"/>
    <w:uiPriority w:val="0"/>
    <w:pPr>
      <w:spacing w:before="0" w:after="140" w:line="288" w:lineRule="auto"/>
    </w:pPr>
  </w:style>
  <w:style w:type="paragraph" w:styleId="5">
    <w:name w:val="caption"/>
    <w:basedOn w:val="1"/>
    <w:qFormat/>
    <w:uiPriority w:val="0"/>
    <w:pPr>
      <w:suppressLineNumbers/>
      <w:spacing w:before="120" w:after="120"/>
    </w:pPr>
    <w:rPr>
      <w:rFonts w:cs="Arial"/>
      <w:i/>
      <w:iCs/>
      <w:sz w:val="24"/>
      <w:szCs w:val="24"/>
    </w:rPr>
  </w:style>
  <w:style w:type="paragraph" w:styleId="6">
    <w:name w:val="List"/>
    <w:basedOn w:val="4"/>
    <w:uiPriority w:val="0"/>
    <w:rPr>
      <w:rFonts w:cs="Arial"/>
    </w:rPr>
  </w:style>
  <w:style w:type="character" w:customStyle="1" w:styleId="7">
    <w:name w:val="ListLabel 76"/>
    <w:qFormat/>
    <w:uiPriority w:val="0"/>
    <w:rPr>
      <w:rFonts w:ascii="Arial" w:hAnsi="Arial" w:cs="Symbol"/>
      <w:sz w:val="20"/>
    </w:rPr>
  </w:style>
  <w:style w:type="character" w:customStyle="1" w:styleId="8">
    <w:name w:val="ListLabel 77"/>
    <w:qFormat/>
    <w:uiPriority w:val="0"/>
    <w:rPr>
      <w:rFonts w:cs="Courier New"/>
    </w:rPr>
  </w:style>
  <w:style w:type="character" w:customStyle="1" w:styleId="9">
    <w:name w:val="ListLabel 78"/>
    <w:qFormat/>
    <w:uiPriority w:val="0"/>
    <w:rPr>
      <w:rFonts w:cs="Wingdings"/>
    </w:rPr>
  </w:style>
  <w:style w:type="character" w:customStyle="1" w:styleId="10">
    <w:name w:val="ListLabel 79"/>
    <w:qFormat/>
    <w:uiPriority w:val="0"/>
    <w:rPr>
      <w:rFonts w:cs="Symbol"/>
    </w:rPr>
  </w:style>
  <w:style w:type="character" w:customStyle="1" w:styleId="11">
    <w:name w:val="ListLabel 80"/>
    <w:qFormat/>
    <w:uiPriority w:val="0"/>
    <w:rPr>
      <w:rFonts w:cs="Courier New"/>
    </w:rPr>
  </w:style>
  <w:style w:type="character" w:customStyle="1" w:styleId="12">
    <w:name w:val="ListLabel 81"/>
    <w:qFormat/>
    <w:uiPriority w:val="0"/>
    <w:rPr>
      <w:rFonts w:cs="Wingdings"/>
    </w:rPr>
  </w:style>
  <w:style w:type="character" w:customStyle="1" w:styleId="13">
    <w:name w:val="ListLabel 82"/>
    <w:qFormat/>
    <w:uiPriority w:val="0"/>
    <w:rPr>
      <w:rFonts w:cs="Symbol"/>
    </w:rPr>
  </w:style>
  <w:style w:type="character" w:customStyle="1" w:styleId="14">
    <w:name w:val="ListLabel 83"/>
    <w:qFormat/>
    <w:uiPriority w:val="0"/>
    <w:rPr>
      <w:rFonts w:cs="Courier New"/>
    </w:rPr>
  </w:style>
  <w:style w:type="character" w:customStyle="1" w:styleId="15">
    <w:name w:val="ListLabel 84"/>
    <w:qFormat/>
    <w:uiPriority w:val="0"/>
    <w:rPr>
      <w:rFonts w:cs="Wingdings"/>
    </w:rPr>
  </w:style>
  <w:style w:type="character" w:customStyle="1" w:styleId="16">
    <w:name w:val="ListLabel 112"/>
    <w:qFormat/>
    <w:uiPriority w:val="0"/>
    <w:rPr>
      <w:rFonts w:ascii="Arial" w:hAnsi="Arial" w:cs="Symbol"/>
      <w:sz w:val="20"/>
    </w:rPr>
  </w:style>
  <w:style w:type="character" w:customStyle="1" w:styleId="17">
    <w:name w:val="ListLabel 113"/>
    <w:qFormat/>
    <w:uiPriority w:val="0"/>
    <w:rPr>
      <w:rFonts w:cs="Courier New"/>
    </w:rPr>
  </w:style>
  <w:style w:type="character" w:customStyle="1" w:styleId="18">
    <w:name w:val="ListLabel 114"/>
    <w:qFormat/>
    <w:uiPriority w:val="0"/>
    <w:rPr>
      <w:rFonts w:cs="Wingdings"/>
    </w:rPr>
  </w:style>
  <w:style w:type="character" w:customStyle="1" w:styleId="19">
    <w:name w:val="ListLabel 115"/>
    <w:qFormat/>
    <w:uiPriority w:val="0"/>
    <w:rPr>
      <w:rFonts w:cs="Symbol"/>
    </w:rPr>
  </w:style>
  <w:style w:type="character" w:customStyle="1" w:styleId="20">
    <w:name w:val="ListLabel 116"/>
    <w:qFormat/>
    <w:uiPriority w:val="0"/>
    <w:rPr>
      <w:rFonts w:cs="Courier New"/>
    </w:rPr>
  </w:style>
  <w:style w:type="character" w:customStyle="1" w:styleId="21">
    <w:name w:val="ListLabel 117"/>
    <w:qFormat/>
    <w:uiPriority w:val="0"/>
    <w:rPr>
      <w:rFonts w:cs="Wingdings"/>
    </w:rPr>
  </w:style>
  <w:style w:type="character" w:customStyle="1" w:styleId="22">
    <w:name w:val="ListLabel 118"/>
    <w:qFormat/>
    <w:uiPriority w:val="0"/>
    <w:rPr>
      <w:rFonts w:cs="Symbol"/>
    </w:rPr>
  </w:style>
  <w:style w:type="character" w:customStyle="1" w:styleId="23">
    <w:name w:val="ListLabel 119"/>
    <w:qFormat/>
    <w:uiPriority w:val="0"/>
    <w:rPr>
      <w:rFonts w:cs="Courier New"/>
    </w:rPr>
  </w:style>
  <w:style w:type="character" w:customStyle="1" w:styleId="24">
    <w:name w:val="ListLabel 120"/>
    <w:qFormat/>
    <w:uiPriority w:val="0"/>
    <w:rPr>
      <w:rFonts w:cs="Wingdings"/>
    </w:rPr>
  </w:style>
  <w:style w:type="character" w:customStyle="1" w:styleId="25">
    <w:name w:val="ListLabel 85"/>
    <w:qFormat/>
    <w:uiPriority w:val="0"/>
    <w:rPr>
      <w:rFonts w:ascii="Arial" w:hAnsi="Arial" w:cs="Symbol"/>
      <w:sz w:val="20"/>
    </w:rPr>
  </w:style>
  <w:style w:type="character" w:customStyle="1" w:styleId="26">
    <w:name w:val="ListLabel 86"/>
    <w:qFormat/>
    <w:uiPriority w:val="0"/>
    <w:rPr>
      <w:rFonts w:cs="Courier New"/>
    </w:rPr>
  </w:style>
  <w:style w:type="character" w:customStyle="1" w:styleId="27">
    <w:name w:val="ListLabel 87"/>
    <w:qFormat/>
    <w:uiPriority w:val="0"/>
    <w:rPr>
      <w:rFonts w:cs="Wingdings"/>
    </w:rPr>
  </w:style>
  <w:style w:type="character" w:customStyle="1" w:styleId="28">
    <w:name w:val="ListLabel 88"/>
    <w:qFormat/>
    <w:uiPriority w:val="0"/>
    <w:rPr>
      <w:rFonts w:cs="Symbol"/>
    </w:rPr>
  </w:style>
  <w:style w:type="character" w:customStyle="1" w:styleId="29">
    <w:name w:val="ListLabel 89"/>
    <w:qFormat/>
    <w:uiPriority w:val="0"/>
    <w:rPr>
      <w:rFonts w:cs="Courier New"/>
    </w:rPr>
  </w:style>
  <w:style w:type="character" w:customStyle="1" w:styleId="30">
    <w:name w:val="ListLabel 90"/>
    <w:qFormat/>
    <w:uiPriority w:val="0"/>
    <w:rPr>
      <w:rFonts w:cs="Wingdings"/>
    </w:rPr>
  </w:style>
  <w:style w:type="character" w:customStyle="1" w:styleId="31">
    <w:name w:val="ListLabel 91"/>
    <w:qFormat/>
    <w:uiPriority w:val="0"/>
    <w:rPr>
      <w:rFonts w:cs="Symbol"/>
    </w:rPr>
  </w:style>
  <w:style w:type="character" w:customStyle="1" w:styleId="32">
    <w:name w:val="ListLabel 92"/>
    <w:qFormat/>
    <w:uiPriority w:val="0"/>
    <w:rPr>
      <w:rFonts w:cs="Courier New"/>
    </w:rPr>
  </w:style>
  <w:style w:type="character" w:customStyle="1" w:styleId="33">
    <w:name w:val="ListLabel 93"/>
    <w:qFormat/>
    <w:uiPriority w:val="0"/>
    <w:rPr>
      <w:rFonts w:cs="Wingdings"/>
    </w:rPr>
  </w:style>
  <w:style w:type="character" w:customStyle="1" w:styleId="34">
    <w:name w:val="ListLabel 94"/>
    <w:qFormat/>
    <w:uiPriority w:val="0"/>
    <w:rPr>
      <w:rFonts w:ascii="Arial" w:hAnsi="Arial" w:cs="Symbol"/>
      <w:sz w:val="20"/>
    </w:rPr>
  </w:style>
  <w:style w:type="character" w:customStyle="1" w:styleId="35">
    <w:name w:val="ListLabel 95"/>
    <w:qFormat/>
    <w:uiPriority w:val="0"/>
    <w:rPr>
      <w:rFonts w:cs="Courier New"/>
    </w:rPr>
  </w:style>
  <w:style w:type="character" w:customStyle="1" w:styleId="36">
    <w:name w:val="ListLabel 96"/>
    <w:qFormat/>
    <w:uiPriority w:val="0"/>
    <w:rPr>
      <w:rFonts w:cs="Wingdings"/>
    </w:rPr>
  </w:style>
  <w:style w:type="character" w:customStyle="1" w:styleId="37">
    <w:name w:val="ListLabel 97"/>
    <w:qFormat/>
    <w:uiPriority w:val="0"/>
    <w:rPr>
      <w:rFonts w:cs="Symbol"/>
    </w:rPr>
  </w:style>
  <w:style w:type="character" w:customStyle="1" w:styleId="38">
    <w:name w:val="ListLabel 98"/>
    <w:qFormat/>
    <w:uiPriority w:val="0"/>
    <w:rPr>
      <w:rFonts w:cs="Courier New"/>
    </w:rPr>
  </w:style>
  <w:style w:type="character" w:customStyle="1" w:styleId="39">
    <w:name w:val="ListLabel 99"/>
    <w:qFormat/>
    <w:uiPriority w:val="0"/>
    <w:rPr>
      <w:rFonts w:cs="Wingdings"/>
    </w:rPr>
  </w:style>
  <w:style w:type="character" w:customStyle="1" w:styleId="40">
    <w:name w:val="ListLabel 100"/>
    <w:qFormat/>
    <w:uiPriority w:val="0"/>
    <w:rPr>
      <w:rFonts w:cs="Symbol"/>
    </w:rPr>
  </w:style>
  <w:style w:type="character" w:customStyle="1" w:styleId="41">
    <w:name w:val="ListLabel 101"/>
    <w:qFormat/>
    <w:uiPriority w:val="0"/>
    <w:rPr>
      <w:rFonts w:cs="Courier New"/>
    </w:rPr>
  </w:style>
  <w:style w:type="character" w:customStyle="1" w:styleId="42">
    <w:name w:val="ListLabel 102"/>
    <w:qFormat/>
    <w:uiPriority w:val="0"/>
    <w:rPr>
      <w:rFonts w:cs="Wingdings"/>
    </w:rPr>
  </w:style>
  <w:style w:type="character" w:customStyle="1" w:styleId="43">
    <w:name w:val="ListLabel 103"/>
    <w:qFormat/>
    <w:uiPriority w:val="0"/>
    <w:rPr>
      <w:rFonts w:ascii="Arial" w:hAnsi="Arial" w:cs="Symbol"/>
      <w:sz w:val="20"/>
    </w:rPr>
  </w:style>
  <w:style w:type="character" w:customStyle="1" w:styleId="44">
    <w:name w:val="ListLabel 104"/>
    <w:qFormat/>
    <w:uiPriority w:val="0"/>
    <w:rPr>
      <w:rFonts w:cs="Courier New"/>
    </w:rPr>
  </w:style>
  <w:style w:type="character" w:customStyle="1" w:styleId="45">
    <w:name w:val="ListLabel 105"/>
    <w:qFormat/>
    <w:uiPriority w:val="0"/>
    <w:rPr>
      <w:rFonts w:cs="Wingdings"/>
    </w:rPr>
  </w:style>
  <w:style w:type="character" w:customStyle="1" w:styleId="46">
    <w:name w:val="ListLabel 106"/>
    <w:qFormat/>
    <w:uiPriority w:val="0"/>
    <w:rPr>
      <w:rFonts w:cs="Symbol"/>
    </w:rPr>
  </w:style>
  <w:style w:type="character" w:customStyle="1" w:styleId="47">
    <w:name w:val="ListLabel 107"/>
    <w:qFormat/>
    <w:uiPriority w:val="0"/>
    <w:rPr>
      <w:rFonts w:cs="Courier New"/>
    </w:rPr>
  </w:style>
  <w:style w:type="character" w:customStyle="1" w:styleId="48">
    <w:name w:val="ListLabel 108"/>
    <w:qFormat/>
    <w:uiPriority w:val="0"/>
    <w:rPr>
      <w:rFonts w:cs="Wingdings"/>
    </w:rPr>
  </w:style>
  <w:style w:type="character" w:customStyle="1" w:styleId="49">
    <w:name w:val="ListLabel 109"/>
    <w:qFormat/>
    <w:uiPriority w:val="0"/>
    <w:rPr>
      <w:rFonts w:cs="Symbol"/>
    </w:rPr>
  </w:style>
  <w:style w:type="character" w:customStyle="1" w:styleId="50">
    <w:name w:val="ListLabel 110"/>
    <w:qFormat/>
    <w:uiPriority w:val="0"/>
    <w:rPr>
      <w:rFonts w:cs="Courier New"/>
    </w:rPr>
  </w:style>
  <w:style w:type="character" w:customStyle="1" w:styleId="51">
    <w:name w:val="ListLabel 111"/>
    <w:qFormat/>
    <w:uiPriority w:val="0"/>
    <w:rPr>
      <w:rFonts w:cs="Wingdings"/>
    </w:rPr>
  </w:style>
  <w:style w:type="character" w:customStyle="1" w:styleId="52">
    <w:name w:val="ListLabel 121"/>
    <w:qFormat/>
    <w:uiPriority w:val="0"/>
    <w:rPr>
      <w:rFonts w:ascii="Arial" w:hAnsi="Arial" w:cs="Symbol"/>
      <w:sz w:val="20"/>
    </w:rPr>
  </w:style>
  <w:style w:type="character" w:customStyle="1" w:styleId="53">
    <w:name w:val="ListLabel 122"/>
    <w:qFormat/>
    <w:uiPriority w:val="0"/>
    <w:rPr>
      <w:rFonts w:ascii="Arial" w:hAnsi="Arial" w:cs="Symbol"/>
      <w:sz w:val="20"/>
    </w:rPr>
  </w:style>
  <w:style w:type="character" w:customStyle="1" w:styleId="54">
    <w:name w:val="ListLabel 123"/>
    <w:qFormat/>
    <w:uiPriority w:val="0"/>
    <w:rPr>
      <w:rFonts w:ascii="Arial" w:hAnsi="Arial" w:cs="Symbol"/>
      <w:sz w:val="20"/>
    </w:rPr>
  </w:style>
  <w:style w:type="character" w:customStyle="1" w:styleId="55">
    <w:name w:val="ListLabel 124"/>
    <w:qFormat/>
    <w:uiPriority w:val="0"/>
    <w:rPr>
      <w:rFonts w:ascii="Arial" w:hAnsi="Arial" w:cs="Symbol"/>
      <w:sz w:val="20"/>
    </w:rPr>
  </w:style>
  <w:style w:type="character" w:customStyle="1" w:styleId="56">
    <w:name w:val="ListLabel 125"/>
    <w:qFormat/>
    <w:uiPriority w:val="0"/>
    <w:rPr>
      <w:rFonts w:ascii="Arial" w:hAnsi="Arial" w:cs="Symbol"/>
      <w:sz w:val="20"/>
    </w:rPr>
  </w:style>
  <w:style w:type="character" w:customStyle="1" w:styleId="57">
    <w:name w:val="ListLabel 126"/>
    <w:qFormat/>
    <w:uiPriority w:val="0"/>
    <w:rPr>
      <w:rFonts w:ascii="Arial" w:hAnsi="Arial" w:cs="Symbol"/>
      <w:sz w:val="20"/>
    </w:rPr>
  </w:style>
  <w:style w:type="character" w:customStyle="1" w:styleId="58">
    <w:name w:val="ListLabel 127"/>
    <w:qFormat/>
    <w:uiPriority w:val="0"/>
    <w:rPr>
      <w:rFonts w:ascii="Arial" w:hAnsi="Arial" w:cs="Symbol"/>
      <w:sz w:val="20"/>
    </w:rPr>
  </w:style>
  <w:style w:type="character" w:customStyle="1" w:styleId="59">
    <w:name w:val="ListLabel 128"/>
    <w:qFormat/>
    <w:uiPriority w:val="0"/>
    <w:rPr>
      <w:rFonts w:ascii="Arial" w:hAnsi="Arial" w:cs="Symbol"/>
      <w:sz w:val="20"/>
    </w:rPr>
  </w:style>
  <w:style w:type="character" w:customStyle="1" w:styleId="60">
    <w:name w:val="ListLabel 129"/>
    <w:qFormat/>
    <w:uiPriority w:val="0"/>
    <w:rPr>
      <w:rFonts w:ascii="Arial" w:hAnsi="Arial" w:cs="Symbol"/>
      <w:sz w:val="20"/>
    </w:rPr>
  </w:style>
  <w:style w:type="character" w:customStyle="1" w:styleId="61">
    <w:name w:val="ListLabel 130"/>
    <w:qFormat/>
    <w:uiPriority w:val="0"/>
    <w:rPr>
      <w:rFonts w:ascii="Arial" w:hAnsi="Arial" w:cs="Symbol"/>
      <w:sz w:val="20"/>
    </w:rPr>
  </w:style>
  <w:style w:type="character" w:customStyle="1" w:styleId="62">
    <w:name w:val="ListLabel 131"/>
    <w:qFormat/>
    <w:uiPriority w:val="0"/>
    <w:rPr>
      <w:rFonts w:ascii="Arial" w:hAnsi="Arial" w:cs="Symbol"/>
      <w:sz w:val="20"/>
    </w:rPr>
  </w:style>
  <w:style w:type="character" w:customStyle="1" w:styleId="63">
    <w:name w:val="ListLabel 132"/>
    <w:qFormat/>
    <w:uiPriority w:val="0"/>
    <w:rPr>
      <w:rFonts w:ascii="Arial" w:hAnsi="Arial" w:cs="Symbol"/>
      <w:sz w:val="20"/>
    </w:rPr>
  </w:style>
  <w:style w:type="character" w:customStyle="1" w:styleId="64">
    <w:name w:val="ListLabel 133"/>
    <w:qFormat/>
    <w:uiPriority w:val="0"/>
    <w:rPr>
      <w:rFonts w:ascii="Arial" w:hAnsi="Arial" w:cs="Symbol"/>
      <w:sz w:val="20"/>
    </w:rPr>
  </w:style>
  <w:style w:type="character" w:customStyle="1" w:styleId="65">
    <w:name w:val="ListLabel 134"/>
    <w:qFormat/>
    <w:uiPriority w:val="0"/>
    <w:rPr>
      <w:rFonts w:ascii="Arial" w:hAnsi="Arial" w:cs="Symbol"/>
      <w:sz w:val="20"/>
    </w:rPr>
  </w:style>
  <w:style w:type="character" w:customStyle="1" w:styleId="66">
    <w:name w:val="ListLabel 135"/>
    <w:qFormat/>
    <w:uiPriority w:val="0"/>
    <w:rPr>
      <w:rFonts w:cs="Symbol"/>
    </w:rPr>
  </w:style>
  <w:style w:type="character" w:customStyle="1" w:styleId="67">
    <w:name w:val="ListLabel 136"/>
    <w:qFormat/>
    <w:uiPriority w:val="0"/>
    <w:rPr>
      <w:rFonts w:cs="Symbol"/>
    </w:rPr>
  </w:style>
  <w:style w:type="character" w:customStyle="1" w:styleId="68">
    <w:name w:val="ListLabel 137"/>
    <w:qFormat/>
    <w:uiPriority w:val="0"/>
    <w:rPr>
      <w:rFonts w:ascii="Arial" w:hAnsi="Arial" w:cs="Symbol"/>
      <w:sz w:val="20"/>
    </w:rPr>
  </w:style>
  <w:style w:type="character" w:customStyle="1" w:styleId="69">
    <w:name w:val="ListLabel 138"/>
    <w:qFormat/>
    <w:uiPriority w:val="0"/>
    <w:rPr>
      <w:rFonts w:ascii="Arial" w:hAnsi="Arial" w:cs="Symbol"/>
      <w:sz w:val="20"/>
    </w:rPr>
  </w:style>
  <w:style w:type="character" w:customStyle="1" w:styleId="70">
    <w:name w:val="ListLabel 139"/>
    <w:qFormat/>
    <w:uiPriority w:val="0"/>
    <w:rPr>
      <w:rFonts w:ascii="Arial" w:hAnsi="Arial" w:cs="Symbol"/>
      <w:sz w:val="20"/>
    </w:rPr>
  </w:style>
  <w:style w:type="character" w:customStyle="1" w:styleId="71">
    <w:name w:val="ListLabel 140"/>
    <w:qFormat/>
    <w:uiPriority w:val="0"/>
    <w:rPr>
      <w:rFonts w:ascii="Arial" w:hAnsi="Arial" w:cs="Symbol"/>
      <w:sz w:val="20"/>
    </w:rPr>
  </w:style>
  <w:style w:type="character" w:customStyle="1" w:styleId="72">
    <w:name w:val="ListLabel 141"/>
    <w:qFormat/>
    <w:uiPriority w:val="0"/>
    <w:rPr>
      <w:rFonts w:ascii="Arial" w:hAnsi="Arial" w:cs="Symbol"/>
      <w:sz w:val="20"/>
    </w:rPr>
  </w:style>
  <w:style w:type="character" w:customStyle="1" w:styleId="73">
    <w:name w:val="ListLabel 142"/>
    <w:qFormat/>
    <w:uiPriority w:val="0"/>
    <w:rPr>
      <w:rFonts w:ascii="Arial" w:hAnsi="Arial" w:cs="Symbol"/>
      <w:sz w:val="20"/>
    </w:rPr>
  </w:style>
  <w:style w:type="character" w:customStyle="1" w:styleId="74">
    <w:name w:val="ListLabel 143"/>
    <w:qFormat/>
    <w:uiPriority w:val="0"/>
    <w:rPr>
      <w:rFonts w:cs="Symbol"/>
    </w:rPr>
  </w:style>
  <w:style w:type="character" w:customStyle="1" w:styleId="75">
    <w:name w:val="ListLabel 144"/>
    <w:qFormat/>
    <w:uiPriority w:val="0"/>
    <w:rPr>
      <w:rFonts w:ascii="Arial" w:hAnsi="Arial" w:cs="Symbol"/>
      <w:sz w:val="20"/>
    </w:rPr>
  </w:style>
  <w:style w:type="character" w:customStyle="1" w:styleId="76">
    <w:name w:val="ListLabel 145"/>
    <w:qFormat/>
    <w:uiPriority w:val="0"/>
    <w:rPr>
      <w:rFonts w:ascii="Arial" w:hAnsi="Arial" w:cs="Symbol"/>
      <w:sz w:val="20"/>
    </w:rPr>
  </w:style>
  <w:style w:type="character" w:customStyle="1" w:styleId="77">
    <w:name w:val="ListLabel 146"/>
    <w:qFormat/>
    <w:uiPriority w:val="0"/>
    <w:rPr>
      <w:rFonts w:ascii="Arial" w:hAnsi="Arial" w:cs="Symbol"/>
      <w:sz w:val="20"/>
    </w:rPr>
  </w:style>
  <w:style w:type="character" w:customStyle="1" w:styleId="78">
    <w:name w:val="ListLabel 147"/>
    <w:qFormat/>
    <w:uiPriority w:val="0"/>
    <w:rPr>
      <w:rFonts w:ascii="Arial" w:hAnsi="Arial" w:cs="Symbol"/>
      <w:sz w:val="20"/>
    </w:rPr>
  </w:style>
  <w:style w:type="character" w:customStyle="1" w:styleId="79">
    <w:name w:val="ListLabel 148"/>
    <w:qFormat/>
    <w:uiPriority w:val="0"/>
    <w:rPr>
      <w:rFonts w:ascii="Arial" w:hAnsi="Arial" w:cs="Symbol"/>
      <w:sz w:val="20"/>
    </w:rPr>
  </w:style>
  <w:style w:type="character" w:customStyle="1" w:styleId="80">
    <w:name w:val="ListLabel 149"/>
    <w:qFormat/>
    <w:uiPriority w:val="0"/>
    <w:rPr>
      <w:rFonts w:ascii="Arial" w:hAnsi="Arial" w:cs="Symbol"/>
      <w:sz w:val="20"/>
    </w:rPr>
  </w:style>
  <w:style w:type="character" w:customStyle="1" w:styleId="81">
    <w:name w:val="ListLabel 150"/>
    <w:qFormat/>
    <w:uiPriority w:val="0"/>
    <w:rPr>
      <w:rFonts w:ascii="Arial" w:hAnsi="Arial" w:cs="Symbol"/>
      <w:sz w:val="20"/>
    </w:rPr>
  </w:style>
  <w:style w:type="character" w:customStyle="1" w:styleId="82">
    <w:name w:val="ListLabel 151"/>
    <w:qFormat/>
    <w:uiPriority w:val="0"/>
    <w:rPr>
      <w:rFonts w:ascii="Arial" w:hAnsi="Arial" w:cs="Symbol"/>
      <w:sz w:val="20"/>
    </w:rPr>
  </w:style>
  <w:style w:type="character" w:customStyle="1" w:styleId="83">
    <w:name w:val="ListLabel 152"/>
    <w:qFormat/>
    <w:uiPriority w:val="0"/>
    <w:rPr>
      <w:rFonts w:ascii="Arial" w:hAnsi="Arial" w:cs="Symbol"/>
      <w:sz w:val="20"/>
    </w:rPr>
  </w:style>
  <w:style w:type="character" w:customStyle="1" w:styleId="84">
    <w:name w:val="ListLabel 153"/>
    <w:qFormat/>
    <w:uiPriority w:val="0"/>
    <w:rPr>
      <w:rFonts w:ascii="Arial" w:hAnsi="Arial" w:cs="Symbol"/>
      <w:sz w:val="20"/>
    </w:rPr>
  </w:style>
  <w:style w:type="character" w:customStyle="1" w:styleId="85">
    <w:name w:val="ListLabel 154"/>
    <w:qFormat/>
    <w:uiPriority w:val="0"/>
    <w:rPr>
      <w:rFonts w:ascii="Arial" w:hAnsi="Arial" w:cs="Symbol"/>
      <w:sz w:val="20"/>
    </w:rPr>
  </w:style>
  <w:style w:type="character" w:customStyle="1" w:styleId="86">
    <w:name w:val="ListLabel 155"/>
    <w:qFormat/>
    <w:uiPriority w:val="0"/>
    <w:rPr>
      <w:rFonts w:ascii="Arial" w:hAnsi="Arial" w:cs="Symbol"/>
      <w:sz w:val="20"/>
    </w:rPr>
  </w:style>
  <w:style w:type="character" w:customStyle="1" w:styleId="87">
    <w:name w:val="ListLabel 156"/>
    <w:qFormat/>
    <w:uiPriority w:val="0"/>
    <w:rPr>
      <w:rFonts w:ascii="Arial" w:hAnsi="Arial" w:cs="Symbol"/>
      <w:sz w:val="20"/>
    </w:rPr>
  </w:style>
  <w:style w:type="character" w:customStyle="1" w:styleId="88">
    <w:name w:val="ListLabel 157"/>
    <w:qFormat/>
    <w:uiPriority w:val="0"/>
    <w:rPr>
      <w:rFonts w:ascii="Arial" w:hAnsi="Arial" w:cs="Symbol"/>
      <w:sz w:val="20"/>
    </w:rPr>
  </w:style>
  <w:style w:type="character" w:customStyle="1" w:styleId="89">
    <w:name w:val="ListLabel 158"/>
    <w:qFormat/>
    <w:uiPriority w:val="0"/>
    <w:rPr>
      <w:rFonts w:ascii="Arial" w:hAnsi="Arial" w:cs="Symbol"/>
      <w:sz w:val="20"/>
    </w:rPr>
  </w:style>
  <w:style w:type="character" w:customStyle="1" w:styleId="90">
    <w:name w:val="ListLabel 159"/>
    <w:qFormat/>
    <w:uiPriority w:val="0"/>
    <w:rPr>
      <w:rFonts w:ascii="Arial" w:hAnsi="Arial" w:cs="Symbol"/>
      <w:sz w:val="20"/>
    </w:rPr>
  </w:style>
  <w:style w:type="character" w:customStyle="1" w:styleId="91">
    <w:name w:val="ListLabel 160"/>
    <w:qFormat/>
    <w:uiPriority w:val="0"/>
    <w:rPr>
      <w:rFonts w:ascii="Arial" w:hAnsi="Arial" w:cs="Symbol"/>
      <w:sz w:val="20"/>
    </w:rPr>
  </w:style>
  <w:style w:type="character" w:customStyle="1" w:styleId="92">
    <w:name w:val="ListLabel 161"/>
    <w:qFormat/>
    <w:uiPriority w:val="0"/>
    <w:rPr>
      <w:rFonts w:ascii="Arial" w:hAnsi="Arial" w:cs="Symbol"/>
      <w:sz w:val="20"/>
    </w:rPr>
  </w:style>
  <w:style w:type="character" w:customStyle="1" w:styleId="93">
    <w:name w:val="ListLabel 162"/>
    <w:qFormat/>
    <w:uiPriority w:val="0"/>
    <w:rPr>
      <w:rFonts w:ascii="Arial" w:hAnsi="Arial" w:cs="Symbol"/>
      <w:sz w:val="20"/>
    </w:rPr>
  </w:style>
  <w:style w:type="character" w:customStyle="1" w:styleId="94">
    <w:name w:val="ListLabel 163"/>
    <w:qFormat/>
    <w:uiPriority w:val="0"/>
    <w:rPr>
      <w:rFonts w:ascii="Arial" w:hAnsi="Arial" w:cs="Symbol"/>
      <w:sz w:val="20"/>
    </w:rPr>
  </w:style>
  <w:style w:type="character" w:customStyle="1" w:styleId="95">
    <w:name w:val="ListLabel 164"/>
    <w:qFormat/>
    <w:uiPriority w:val="0"/>
    <w:rPr>
      <w:rFonts w:cs="Symbol"/>
    </w:rPr>
  </w:style>
  <w:style w:type="character" w:customStyle="1" w:styleId="96">
    <w:name w:val="ListLabel 165"/>
    <w:qFormat/>
    <w:uiPriority w:val="0"/>
    <w:rPr>
      <w:rFonts w:ascii="Arial" w:hAnsi="Arial" w:cs="Symbol"/>
      <w:sz w:val="20"/>
    </w:rPr>
  </w:style>
  <w:style w:type="character" w:customStyle="1" w:styleId="97">
    <w:name w:val="ListLabel 166"/>
    <w:qFormat/>
    <w:uiPriority w:val="0"/>
    <w:rPr>
      <w:rFonts w:ascii="Arial" w:hAnsi="Arial" w:cs="Symbol"/>
      <w:sz w:val="20"/>
    </w:rPr>
  </w:style>
  <w:style w:type="character" w:customStyle="1" w:styleId="98">
    <w:name w:val="ListLabel 167"/>
    <w:qFormat/>
    <w:uiPriority w:val="0"/>
    <w:rPr>
      <w:rFonts w:ascii="Arial" w:hAnsi="Arial" w:cs="Symbol"/>
      <w:sz w:val="20"/>
    </w:rPr>
  </w:style>
  <w:style w:type="character" w:customStyle="1" w:styleId="99">
    <w:name w:val="ListLabel 168"/>
    <w:qFormat/>
    <w:uiPriority w:val="0"/>
    <w:rPr>
      <w:rFonts w:ascii="Arial" w:hAnsi="Arial" w:cs="Symbol"/>
      <w:sz w:val="20"/>
    </w:rPr>
  </w:style>
  <w:style w:type="character" w:customStyle="1" w:styleId="100">
    <w:name w:val="ListLabel 169"/>
    <w:qFormat/>
    <w:uiPriority w:val="0"/>
    <w:rPr>
      <w:rFonts w:ascii="Arial" w:hAnsi="Arial" w:cs="Symbol"/>
      <w:sz w:val="20"/>
    </w:rPr>
  </w:style>
  <w:style w:type="character" w:customStyle="1" w:styleId="101">
    <w:name w:val="ListLabel 170"/>
    <w:qFormat/>
    <w:uiPriority w:val="0"/>
    <w:rPr>
      <w:rFonts w:ascii="Arial" w:hAnsi="Arial" w:cs="Symbol"/>
      <w:sz w:val="20"/>
    </w:rPr>
  </w:style>
  <w:style w:type="character" w:customStyle="1" w:styleId="102">
    <w:name w:val="ListLabel 171"/>
    <w:qFormat/>
    <w:uiPriority w:val="0"/>
    <w:rPr>
      <w:rFonts w:cs="Symbol"/>
    </w:rPr>
  </w:style>
  <w:style w:type="character" w:customStyle="1" w:styleId="103">
    <w:name w:val="ListLabel 172"/>
    <w:qFormat/>
    <w:uiPriority w:val="0"/>
    <w:rPr>
      <w:rFonts w:ascii="Arial" w:hAnsi="Arial" w:cs="Symbol"/>
      <w:sz w:val="20"/>
    </w:rPr>
  </w:style>
  <w:style w:type="character" w:customStyle="1" w:styleId="104">
    <w:name w:val="ListLabel 173"/>
    <w:qFormat/>
    <w:uiPriority w:val="0"/>
    <w:rPr>
      <w:rFonts w:ascii="Arial" w:hAnsi="Arial" w:cs="Symbol"/>
      <w:sz w:val="20"/>
    </w:rPr>
  </w:style>
  <w:style w:type="character" w:customStyle="1" w:styleId="105">
    <w:name w:val="ListLabel 174"/>
    <w:qFormat/>
    <w:uiPriority w:val="0"/>
    <w:rPr>
      <w:rFonts w:ascii="Arial" w:hAnsi="Arial" w:cs="Symbol"/>
      <w:sz w:val="20"/>
    </w:rPr>
  </w:style>
  <w:style w:type="character" w:customStyle="1" w:styleId="106">
    <w:name w:val="ListLabel 175"/>
    <w:qFormat/>
    <w:uiPriority w:val="0"/>
    <w:rPr>
      <w:rFonts w:ascii="Arial" w:hAnsi="Arial" w:cs="Symbol"/>
      <w:sz w:val="20"/>
    </w:rPr>
  </w:style>
  <w:style w:type="character" w:customStyle="1" w:styleId="107">
    <w:name w:val="ListLabel 176"/>
    <w:qFormat/>
    <w:uiPriority w:val="0"/>
    <w:rPr>
      <w:rFonts w:ascii="Arial" w:hAnsi="Arial" w:cs="Symbol"/>
      <w:sz w:val="20"/>
    </w:rPr>
  </w:style>
  <w:style w:type="character" w:customStyle="1" w:styleId="108">
    <w:name w:val="ListLabel 177"/>
    <w:qFormat/>
    <w:uiPriority w:val="0"/>
    <w:rPr>
      <w:rFonts w:ascii="Arial" w:hAnsi="Arial" w:cs="Symbol"/>
      <w:sz w:val="20"/>
    </w:rPr>
  </w:style>
  <w:style w:type="character" w:customStyle="1" w:styleId="109">
    <w:name w:val="ListLabel 178"/>
    <w:qFormat/>
    <w:uiPriority w:val="0"/>
    <w:rPr>
      <w:rFonts w:ascii="Arial" w:hAnsi="Arial" w:cs="Symbol"/>
      <w:sz w:val="20"/>
    </w:rPr>
  </w:style>
  <w:style w:type="character" w:customStyle="1" w:styleId="110">
    <w:name w:val="ListLabel 179"/>
    <w:qFormat/>
    <w:uiPriority w:val="0"/>
    <w:rPr>
      <w:rFonts w:ascii="Arial" w:hAnsi="Arial" w:cs="Symbol"/>
      <w:sz w:val="20"/>
    </w:rPr>
  </w:style>
  <w:style w:type="character" w:customStyle="1" w:styleId="111">
    <w:name w:val="ListLabel 180"/>
    <w:qFormat/>
    <w:uiPriority w:val="0"/>
    <w:rPr>
      <w:rFonts w:ascii="Arial" w:hAnsi="Arial" w:cs="Symbol"/>
      <w:sz w:val="20"/>
    </w:rPr>
  </w:style>
  <w:style w:type="character" w:customStyle="1" w:styleId="112">
    <w:name w:val="ListLabel 181"/>
    <w:qFormat/>
    <w:uiPriority w:val="0"/>
    <w:rPr>
      <w:rFonts w:ascii="Arial" w:hAnsi="Arial" w:cs="Symbol"/>
      <w:sz w:val="20"/>
    </w:rPr>
  </w:style>
  <w:style w:type="character" w:customStyle="1" w:styleId="113">
    <w:name w:val="ListLabel 182"/>
    <w:qFormat/>
    <w:uiPriority w:val="0"/>
    <w:rPr>
      <w:rFonts w:ascii="Arial" w:hAnsi="Arial" w:cs="Symbol"/>
      <w:sz w:val="20"/>
    </w:rPr>
  </w:style>
  <w:style w:type="character" w:customStyle="1" w:styleId="114">
    <w:name w:val="ListLabel 183"/>
    <w:qFormat/>
    <w:uiPriority w:val="0"/>
    <w:rPr>
      <w:rFonts w:cs="Symbol"/>
    </w:rPr>
  </w:style>
  <w:style w:type="character" w:customStyle="1" w:styleId="115">
    <w:name w:val="ListLabel 184"/>
    <w:qFormat/>
    <w:uiPriority w:val="0"/>
    <w:rPr>
      <w:rFonts w:cs="Symbol"/>
    </w:rPr>
  </w:style>
  <w:style w:type="character" w:customStyle="1" w:styleId="116">
    <w:name w:val="ListLabel 185"/>
    <w:qFormat/>
    <w:uiPriority w:val="0"/>
    <w:rPr>
      <w:rFonts w:ascii="Arial" w:hAnsi="Arial" w:cs="Symbol"/>
      <w:sz w:val="20"/>
    </w:rPr>
  </w:style>
  <w:style w:type="character" w:customStyle="1" w:styleId="117">
    <w:name w:val="ListLabel 186"/>
    <w:qFormat/>
    <w:uiPriority w:val="0"/>
    <w:rPr>
      <w:rFonts w:ascii="Arial" w:hAnsi="Arial" w:cs="Symbol"/>
      <w:sz w:val="20"/>
    </w:rPr>
  </w:style>
  <w:style w:type="character" w:customStyle="1" w:styleId="118">
    <w:name w:val="ListLabel 187"/>
    <w:qFormat/>
    <w:uiPriority w:val="0"/>
    <w:rPr>
      <w:rFonts w:ascii="Arial" w:hAnsi="Arial" w:cs="Symbol"/>
      <w:sz w:val="20"/>
    </w:rPr>
  </w:style>
  <w:style w:type="character" w:customStyle="1" w:styleId="119">
    <w:name w:val="ListLabel 188"/>
    <w:qFormat/>
    <w:uiPriority w:val="0"/>
    <w:rPr>
      <w:rFonts w:cs="Symbol"/>
    </w:rPr>
  </w:style>
  <w:style w:type="character" w:customStyle="1" w:styleId="120">
    <w:name w:val="ListLabel 189"/>
    <w:qFormat/>
    <w:uiPriority w:val="0"/>
    <w:rPr>
      <w:rFonts w:ascii="Arial" w:hAnsi="Arial" w:cs="Symbol"/>
      <w:sz w:val="20"/>
    </w:rPr>
  </w:style>
  <w:style w:type="character" w:customStyle="1" w:styleId="121">
    <w:name w:val="ListLabel 190"/>
    <w:qFormat/>
    <w:uiPriority w:val="0"/>
    <w:rPr>
      <w:rFonts w:cs="Symbol"/>
    </w:rPr>
  </w:style>
  <w:style w:type="character" w:customStyle="1" w:styleId="122">
    <w:name w:val="ListLabel 191"/>
    <w:qFormat/>
    <w:uiPriority w:val="0"/>
    <w:rPr>
      <w:rFonts w:cs="Symbol"/>
      <w:sz w:val="20"/>
    </w:rPr>
  </w:style>
  <w:style w:type="character" w:customStyle="1" w:styleId="123">
    <w:name w:val="ListLabel 192"/>
    <w:qFormat/>
    <w:uiPriority w:val="0"/>
    <w:rPr>
      <w:rFonts w:cs="Courier New"/>
    </w:rPr>
  </w:style>
  <w:style w:type="character" w:customStyle="1" w:styleId="124">
    <w:name w:val="ListLabel 193"/>
    <w:qFormat/>
    <w:uiPriority w:val="0"/>
    <w:rPr>
      <w:rFonts w:cs="Wingdings"/>
    </w:rPr>
  </w:style>
  <w:style w:type="character" w:customStyle="1" w:styleId="125">
    <w:name w:val="ListLabel 194"/>
    <w:qFormat/>
    <w:uiPriority w:val="0"/>
    <w:rPr>
      <w:rFonts w:cs="Symbol"/>
    </w:rPr>
  </w:style>
  <w:style w:type="character" w:customStyle="1" w:styleId="126">
    <w:name w:val="ListLabel 195"/>
    <w:qFormat/>
    <w:uiPriority w:val="0"/>
    <w:rPr>
      <w:rFonts w:cs="Courier New"/>
    </w:rPr>
  </w:style>
  <w:style w:type="character" w:customStyle="1" w:styleId="127">
    <w:name w:val="ListLabel 196"/>
    <w:qFormat/>
    <w:uiPriority w:val="0"/>
    <w:rPr>
      <w:rFonts w:cs="Wingdings"/>
    </w:rPr>
  </w:style>
  <w:style w:type="character" w:customStyle="1" w:styleId="128">
    <w:name w:val="ListLabel 197"/>
    <w:qFormat/>
    <w:uiPriority w:val="0"/>
    <w:rPr>
      <w:rFonts w:cs="Symbol"/>
    </w:rPr>
  </w:style>
  <w:style w:type="character" w:customStyle="1" w:styleId="129">
    <w:name w:val="ListLabel 198"/>
    <w:qFormat/>
    <w:uiPriority w:val="0"/>
    <w:rPr>
      <w:rFonts w:cs="Courier New"/>
    </w:rPr>
  </w:style>
  <w:style w:type="character" w:customStyle="1" w:styleId="130">
    <w:name w:val="ListLabel 199"/>
    <w:qFormat/>
    <w:uiPriority w:val="0"/>
    <w:rPr>
      <w:rFonts w:cs="Wingdings"/>
    </w:rPr>
  </w:style>
  <w:style w:type="character" w:customStyle="1" w:styleId="131">
    <w:name w:val="ListLabel 200"/>
    <w:qFormat/>
    <w:uiPriority w:val="0"/>
    <w:rPr>
      <w:rFonts w:cs="Symbol"/>
      <w:sz w:val="20"/>
    </w:rPr>
  </w:style>
  <w:style w:type="character" w:customStyle="1" w:styleId="132">
    <w:name w:val="ListLabel 201"/>
    <w:qFormat/>
    <w:uiPriority w:val="0"/>
    <w:rPr>
      <w:rFonts w:cs="Courier New"/>
    </w:rPr>
  </w:style>
  <w:style w:type="character" w:customStyle="1" w:styleId="133">
    <w:name w:val="ListLabel 202"/>
    <w:qFormat/>
    <w:uiPriority w:val="0"/>
    <w:rPr>
      <w:rFonts w:cs="Wingdings"/>
    </w:rPr>
  </w:style>
  <w:style w:type="character" w:customStyle="1" w:styleId="134">
    <w:name w:val="ListLabel 203"/>
    <w:qFormat/>
    <w:uiPriority w:val="0"/>
    <w:rPr>
      <w:rFonts w:cs="Symbol"/>
    </w:rPr>
  </w:style>
  <w:style w:type="character" w:customStyle="1" w:styleId="135">
    <w:name w:val="ListLabel 204"/>
    <w:qFormat/>
    <w:uiPriority w:val="0"/>
    <w:rPr>
      <w:rFonts w:cs="Courier New"/>
    </w:rPr>
  </w:style>
  <w:style w:type="character" w:customStyle="1" w:styleId="136">
    <w:name w:val="ListLabel 205"/>
    <w:qFormat/>
    <w:uiPriority w:val="0"/>
    <w:rPr>
      <w:rFonts w:cs="Wingdings"/>
    </w:rPr>
  </w:style>
  <w:style w:type="character" w:customStyle="1" w:styleId="137">
    <w:name w:val="ListLabel 206"/>
    <w:qFormat/>
    <w:uiPriority w:val="0"/>
    <w:rPr>
      <w:rFonts w:cs="Symbol"/>
    </w:rPr>
  </w:style>
  <w:style w:type="character" w:customStyle="1" w:styleId="138">
    <w:name w:val="ListLabel 207"/>
    <w:qFormat/>
    <w:uiPriority w:val="0"/>
    <w:rPr>
      <w:rFonts w:cs="Courier New"/>
    </w:rPr>
  </w:style>
  <w:style w:type="character" w:customStyle="1" w:styleId="139">
    <w:name w:val="ListLabel 208"/>
    <w:qFormat/>
    <w:uiPriority w:val="0"/>
    <w:rPr>
      <w:rFonts w:cs="Wingdings"/>
    </w:rPr>
  </w:style>
  <w:style w:type="paragraph" w:customStyle="1" w:styleId="140">
    <w:name w:val="Nagłówek"/>
    <w:basedOn w:val="1"/>
    <w:next w:val="4"/>
    <w:qFormat/>
    <w:uiPriority w:val="0"/>
    <w:pPr>
      <w:keepNext/>
      <w:spacing w:before="240" w:after="120"/>
    </w:pPr>
    <w:rPr>
      <w:rFonts w:ascii="Liberation Sans" w:hAnsi="Liberation Sans" w:eastAsia="Microsoft YaHei" w:cs="Arial"/>
      <w:sz w:val="28"/>
      <w:szCs w:val="28"/>
    </w:rPr>
  </w:style>
  <w:style w:type="paragraph" w:customStyle="1" w:styleId="141">
    <w:name w:val="Indeks"/>
    <w:basedOn w:val="1"/>
    <w:qFormat/>
    <w:uiPriority w:val="0"/>
    <w:pPr>
      <w:suppressLineNumbers/>
    </w:pPr>
    <w:rPr>
      <w:rFonts w:cs="Arial"/>
    </w:rPr>
  </w:style>
  <w:style w:type="paragraph" w:styleId="142">
    <w:name w:val="List Paragraph"/>
    <w:basedOn w:val="1"/>
    <w:qFormat/>
    <w:uiPriority w:val="0"/>
    <w:pPr>
      <w:spacing w:before="0" w:after="200"/>
      <w:ind w:left="720" w:firstLine="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32</Pages>
  <Words>11008</Words>
  <Characters>72321</Characters>
  <Paragraphs>713</Paragraphs>
  <TotalTime>7</TotalTime>
  <ScaleCrop>false</ScaleCrop>
  <LinksUpToDate>false</LinksUpToDate>
  <CharactersWithSpaces>83294</CharactersWithSpaces>
  <Application>WPS Office_12.2.0.17153_F1E327BC-269C-435d-A152-05C5408002CA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2024-08-13T12:52:00Z</dcterms:created>
  <dc:creator>WPS_1704349047</dc:creator>
  <cp:lastModifiedBy>WPS_1704349047</cp:lastModifiedBy>
  <dcterms:modified xsi:type="dcterms:W3CDTF">2024-08-14T07:29:37Z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1045-12.2.0.17153</vt:lpwstr>
  </property>
  <property fmtid="{D5CDD505-2E9C-101B-9397-08002B2CF9AE}" pid="3" name="ICV">
    <vt:lpwstr>00F57605B9FB4ED1B7E8A85F65AC19A4_13</vt:lpwstr>
  </property>
</Properties>
</file>